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方正小标宋简体" w:eastAsia="方正小标宋简体" w:cs="方正小标宋简体"/>
          <w:color w:val="000000" w:themeColor="text1"/>
          <w:spacing w:val="-6"/>
          <w:sz w:val="44"/>
          <w:szCs w:val="36"/>
          <w14:textFill>
            <w14:solidFill>
              <w14:schemeClr w14:val="tx1"/>
            </w14:solidFill>
          </w14:textFill>
        </w:rPr>
      </w:pPr>
    </w:p>
    <w:p>
      <w:pPr>
        <w:ind w:firstLine="0" w:firstLineChars="0"/>
        <w:jc w:val="center"/>
        <w:rPr>
          <w:rFonts w:hint="eastAsia" w:ascii="方正小标宋简体" w:hAnsi="方正小标宋简体" w:eastAsia="方正小标宋简体" w:cs="方正小标宋简体"/>
          <w:color w:val="000000" w:themeColor="text1"/>
          <w:spacing w:val="-6"/>
          <w:sz w:val="44"/>
          <w:szCs w:val="36"/>
          <w14:textFill>
            <w14:solidFill>
              <w14:schemeClr w14:val="tx1"/>
            </w14:solidFill>
          </w14:textFill>
        </w:rPr>
      </w:pPr>
    </w:p>
    <w:p>
      <w:pPr>
        <w:pStyle w:val="2"/>
        <w:ind w:left="640"/>
        <w:rPr>
          <w:rFonts w:hint="eastAsia"/>
          <w:color w:val="000000" w:themeColor="text1"/>
          <w14:textFill>
            <w14:solidFill>
              <w14:schemeClr w14:val="tx1"/>
            </w14:solidFill>
          </w14:textFill>
        </w:rPr>
      </w:pPr>
    </w:p>
    <w:p>
      <w:pPr>
        <w:pStyle w:val="2"/>
        <w:ind w:left="640"/>
        <w:rPr>
          <w:rFonts w:hint="eastAsia"/>
          <w:color w:val="000000" w:themeColor="text1"/>
          <w14:textFill>
            <w14:solidFill>
              <w14:schemeClr w14:val="tx1"/>
            </w14:solidFill>
          </w14:textFill>
        </w:rPr>
      </w:pPr>
    </w:p>
    <w:p>
      <w:pPr>
        <w:pStyle w:val="2"/>
        <w:ind w:left="640"/>
        <w:rPr>
          <w:rFonts w:hint="eastAsia"/>
          <w:color w:val="000000" w:themeColor="text1"/>
          <w14:textFill>
            <w14:solidFill>
              <w14:schemeClr w14:val="tx1"/>
            </w14:solidFill>
          </w14:textFill>
        </w:rPr>
      </w:pPr>
    </w:p>
    <w:p>
      <w:pPr>
        <w:pStyle w:val="2"/>
        <w:ind w:left="640"/>
        <w:rPr>
          <w:color w:val="000000" w:themeColor="text1"/>
          <w14:textFill>
            <w14:solidFill>
              <w14:schemeClr w14:val="tx1"/>
            </w14:solidFill>
          </w14:textFill>
        </w:rPr>
      </w:pPr>
    </w:p>
    <w:p>
      <w:pPr>
        <w:ind w:firstLine="0" w:firstLineChars="0"/>
        <w:jc w:val="center"/>
        <w:rPr>
          <w:rFonts w:ascii="方正小标宋简体" w:hAnsi="方正小标宋简体" w:eastAsia="方正小标宋简体" w:cs="方正小标宋简体"/>
          <w:color w:val="000000" w:themeColor="text1"/>
          <w:spacing w:val="-6"/>
          <w:sz w:val="44"/>
          <w:szCs w:val="36"/>
          <w14:textFill>
            <w14:solidFill>
              <w14:schemeClr w14:val="tx1"/>
            </w14:solidFill>
          </w14:textFill>
        </w:rPr>
      </w:pPr>
    </w:p>
    <w:p>
      <w:pPr>
        <w:spacing w:line="640" w:lineRule="exact"/>
        <w:ind w:firstLine="0" w:firstLineChars="0"/>
        <w:jc w:val="center"/>
        <w:rPr>
          <w:rFonts w:eastAsia="方正小标宋简体" w:cs="Times New Roman"/>
          <w:color w:val="000000" w:themeColor="text1"/>
          <w:spacing w:val="-16"/>
          <w:sz w:val="44"/>
          <w:szCs w:val="36"/>
          <w14:textFill>
            <w14:solidFill>
              <w14:schemeClr w14:val="tx1"/>
            </w14:solidFill>
          </w14:textFill>
        </w:rPr>
      </w:pPr>
      <w:r>
        <w:rPr>
          <w:rFonts w:eastAsia="方正小标宋简体" w:cs="Times New Roman"/>
          <w:color w:val="000000" w:themeColor="text1"/>
          <w:spacing w:val="-16"/>
          <w:sz w:val="44"/>
          <w:szCs w:val="36"/>
          <w14:textFill>
            <w14:solidFill>
              <w14:schemeClr w14:val="tx1"/>
            </w14:solidFill>
          </w14:textFill>
        </w:rPr>
        <w:t>关于印发《山亭区财政局关于坚决贯彻落实区委区政府决策部署全力支持“工业强区、产业兴区”、“双十镇”高质量发展和“山水林田大会战”工作的实施方案》的通知</w:t>
      </w:r>
    </w:p>
    <w:p>
      <w:pPr>
        <w:ind w:firstLine="608"/>
        <w:rPr>
          <w:color w:val="000000" w:themeColor="text1"/>
          <w:spacing w:val="-8"/>
          <w14:textFill>
            <w14:solidFill>
              <w14:schemeClr w14:val="tx1"/>
            </w14:solidFill>
          </w14:textFill>
        </w:rPr>
      </w:pPr>
    </w:p>
    <w:p>
      <w:pPr>
        <w:ind w:firstLine="0" w:firstLineChars="0"/>
        <w:rPr>
          <w:rFonts w:ascii="仿宋_GB2312" w:hAnsi="仿宋_GB2312" w:cs="仿宋_GB2312"/>
          <w:color w:val="000000" w:themeColor="text1"/>
          <w:spacing w:val="-8"/>
          <w:szCs w:val="32"/>
          <w14:textFill>
            <w14:solidFill>
              <w14:schemeClr w14:val="tx1"/>
            </w14:solidFill>
          </w14:textFill>
        </w:rPr>
      </w:pPr>
      <w:r>
        <w:rPr>
          <w:rFonts w:hint="eastAsia" w:ascii="仿宋_GB2312" w:hAnsi="仿宋_GB2312" w:cs="仿宋_GB2312"/>
          <w:color w:val="000000" w:themeColor="text1"/>
          <w:spacing w:val="-8"/>
          <w:szCs w:val="32"/>
          <w14:textFill>
            <w14:solidFill>
              <w14:schemeClr w14:val="tx1"/>
            </w14:solidFill>
          </w14:textFill>
        </w:rPr>
        <w:t>局属各单位、股室，各监管企业：</w:t>
      </w:r>
      <w:r>
        <w:rPr>
          <w:rFonts w:hint="eastAsia" w:ascii="仿宋_GB2312" w:hAnsi="仿宋_GB2312" w:cs="仿宋_GB2312"/>
          <w:color w:val="000000" w:themeColor="text1"/>
          <w:spacing w:val="-8"/>
          <w:szCs w:val="32"/>
          <w14:textFill>
            <w14:solidFill>
              <w14:schemeClr w14:val="tx1"/>
            </w14:solidFill>
          </w14:textFill>
        </w:rPr>
        <w:tab/>
      </w:r>
    </w:p>
    <w:p>
      <w:pPr>
        <w:ind w:firstLine="608"/>
        <w:rPr>
          <w:rFonts w:ascii="仿宋_GB2312" w:hAnsi="仿宋_GB2312" w:cs="仿宋_GB2312"/>
          <w:color w:val="000000" w:themeColor="text1"/>
          <w:spacing w:val="-8"/>
          <w:szCs w:val="32"/>
          <w14:textFill>
            <w14:solidFill>
              <w14:schemeClr w14:val="tx1"/>
            </w14:solidFill>
          </w14:textFill>
        </w:rPr>
      </w:pPr>
      <w:r>
        <w:rPr>
          <w:rFonts w:hint="eastAsia" w:ascii="仿宋_GB2312" w:hAnsi="仿宋_GB2312" w:cs="仿宋_GB2312"/>
          <w:color w:val="000000" w:themeColor="text1"/>
          <w:spacing w:val="-8"/>
          <w:szCs w:val="32"/>
          <w14:textFill>
            <w14:solidFill>
              <w14:schemeClr w14:val="tx1"/>
            </w14:solidFill>
          </w14:textFill>
        </w:rPr>
        <w:t>《山亭区财政局关于坚决贯彻落实区委区政府决策部署全力支持“工业强区、产业兴区”、“双十镇”高质量发展和“山水林田大会战”工作的实施方案》已经局党组研究同意，现印发给你们，请认真抓好贯彻落实。</w:t>
      </w:r>
    </w:p>
    <w:p>
      <w:pPr>
        <w:ind w:firstLine="616"/>
        <w:rPr>
          <w:rFonts w:ascii="仿宋_GB2312" w:hAnsi="仿宋_GB2312" w:cs="仿宋_GB2312"/>
          <w:color w:val="000000" w:themeColor="text1"/>
          <w:spacing w:val="-6"/>
          <w:szCs w:val="32"/>
          <w14:textFill>
            <w14:solidFill>
              <w14:schemeClr w14:val="tx1"/>
            </w14:solidFill>
          </w14:textFill>
        </w:rPr>
      </w:pPr>
      <w:r>
        <w:rPr>
          <w:rFonts w:hint="eastAsia" w:ascii="仿宋_GB2312" w:hAnsi="仿宋_GB2312" w:cs="仿宋_GB2312"/>
          <w:color w:val="000000" w:themeColor="text1"/>
          <w:spacing w:val="-6"/>
          <w:szCs w:val="32"/>
          <w14:textFill>
            <w14:solidFill>
              <w14:schemeClr w14:val="tx1"/>
            </w14:solidFill>
          </w14:textFill>
        </w:rPr>
        <w:t xml:space="preserve"> </w:t>
      </w:r>
    </w:p>
    <w:p>
      <w:pPr>
        <w:ind w:firstLine="616"/>
        <w:rPr>
          <w:rFonts w:ascii="仿宋_GB2312" w:hAnsi="仿宋_GB2312" w:cs="仿宋_GB2312"/>
          <w:color w:val="000000" w:themeColor="text1"/>
          <w:spacing w:val="-6"/>
          <w:szCs w:val="32"/>
          <w14:textFill>
            <w14:solidFill>
              <w14:schemeClr w14:val="tx1"/>
            </w14:solidFill>
          </w14:textFill>
        </w:rPr>
      </w:pPr>
    </w:p>
    <w:p>
      <w:pPr>
        <w:wordWrap w:val="0"/>
        <w:ind w:firstLine="616"/>
        <w:jc w:val="right"/>
        <w:rPr>
          <w:rFonts w:ascii="仿宋_GB2312" w:hAnsi="仿宋_GB2312" w:cs="仿宋_GB2312"/>
          <w:color w:val="000000" w:themeColor="text1"/>
          <w:spacing w:val="-6"/>
          <w:szCs w:val="32"/>
          <w14:textFill>
            <w14:solidFill>
              <w14:schemeClr w14:val="tx1"/>
            </w14:solidFill>
          </w14:textFill>
        </w:rPr>
      </w:pPr>
      <w:r>
        <w:rPr>
          <w:rFonts w:hint="eastAsia" w:ascii="仿宋_GB2312" w:hAnsi="仿宋_GB2312" w:cs="仿宋_GB2312"/>
          <w:color w:val="000000" w:themeColor="text1"/>
          <w:spacing w:val="-6"/>
          <w:szCs w:val="32"/>
          <w14:textFill>
            <w14:solidFill>
              <w14:schemeClr w14:val="tx1"/>
            </w14:solidFill>
          </w14:textFill>
        </w:rPr>
        <w:t xml:space="preserve">    山亭区财政局    </w:t>
      </w:r>
    </w:p>
    <w:p>
      <w:pPr>
        <w:ind w:firstLine="616"/>
        <w:rPr>
          <w:rFonts w:ascii="仿宋_GB2312" w:hAnsi="仿宋_GB2312" w:cs="仿宋_GB2312"/>
          <w:color w:val="000000" w:themeColor="text1"/>
          <w:spacing w:val="-6"/>
          <w:szCs w:val="32"/>
          <w14:textFill>
            <w14:solidFill>
              <w14:schemeClr w14:val="tx1"/>
            </w14:solidFill>
          </w14:textFill>
        </w:rPr>
      </w:pPr>
      <w:r>
        <w:rPr>
          <w:rFonts w:hint="eastAsia" w:ascii="仿宋_GB2312" w:hAnsi="仿宋_GB2312" w:cs="仿宋_GB2312"/>
          <w:color w:val="000000" w:themeColor="text1"/>
          <w:spacing w:val="-6"/>
          <w:szCs w:val="32"/>
          <w14:textFill>
            <w14:solidFill>
              <w14:schemeClr w14:val="tx1"/>
            </w14:solidFill>
          </w14:textFill>
        </w:rPr>
        <w:t xml:space="preserve">                                     2021年</w:t>
      </w:r>
      <w:r>
        <w:rPr>
          <w:rFonts w:hint="eastAsia" w:ascii="仿宋_GB2312" w:hAnsi="仿宋_GB2312" w:cs="仿宋_GB2312"/>
          <w:color w:val="000000" w:themeColor="text1"/>
          <w:spacing w:val="-6"/>
          <w:szCs w:val="32"/>
          <w:lang w:val="en-US" w:eastAsia="zh-CN"/>
          <w14:textFill>
            <w14:solidFill>
              <w14:schemeClr w14:val="tx1"/>
            </w14:solidFill>
          </w14:textFill>
        </w:rPr>
        <w:t>6</w:t>
      </w:r>
      <w:r>
        <w:rPr>
          <w:rFonts w:hint="eastAsia" w:ascii="仿宋_GB2312" w:hAnsi="仿宋_GB2312" w:cs="仿宋_GB2312"/>
          <w:color w:val="000000" w:themeColor="text1"/>
          <w:spacing w:val="-6"/>
          <w:szCs w:val="32"/>
          <w14:textFill>
            <w14:solidFill>
              <w14:schemeClr w14:val="tx1"/>
            </w14:solidFill>
          </w14:textFill>
        </w:rPr>
        <w:t>月</w:t>
      </w:r>
      <w:r>
        <w:rPr>
          <w:rFonts w:hint="eastAsia" w:ascii="仿宋_GB2312" w:hAnsi="仿宋_GB2312" w:cs="仿宋_GB2312"/>
          <w:color w:val="000000" w:themeColor="text1"/>
          <w:spacing w:val="-6"/>
          <w:szCs w:val="32"/>
          <w:lang w:val="en-US" w:eastAsia="zh-CN"/>
          <w14:textFill>
            <w14:solidFill>
              <w14:schemeClr w14:val="tx1"/>
            </w14:solidFill>
          </w14:textFill>
        </w:rPr>
        <w:t>8</w:t>
      </w:r>
      <w:r>
        <w:rPr>
          <w:rFonts w:hint="eastAsia" w:ascii="仿宋_GB2312" w:hAnsi="仿宋_GB2312" w:cs="仿宋_GB2312"/>
          <w:color w:val="000000" w:themeColor="text1"/>
          <w:spacing w:val="-6"/>
          <w:szCs w:val="32"/>
          <w14:textFill>
            <w14:solidFill>
              <w14:schemeClr w14:val="tx1"/>
            </w14:solidFill>
          </w14:textFill>
        </w:rPr>
        <w:t>日</w:t>
      </w:r>
    </w:p>
    <w:p>
      <w:pPr>
        <w:ind w:firstLine="616"/>
        <w:rPr>
          <w:color w:val="000000" w:themeColor="text1"/>
          <w:spacing w:val="-6"/>
          <w14:textFill>
            <w14:solidFill>
              <w14:schemeClr w14:val="tx1"/>
            </w14:solidFill>
          </w14:textFill>
        </w:rPr>
      </w:pPr>
      <w:r>
        <w:rPr>
          <w:rFonts w:hint="eastAsia"/>
          <w:color w:val="000000" w:themeColor="text1"/>
          <w:spacing w:val="-6"/>
          <w14:textFill>
            <w14:solidFill>
              <w14:schemeClr w14:val="tx1"/>
            </w14:solidFill>
          </w14:textFill>
        </w:rPr>
        <w:br w:type="page"/>
      </w:r>
    </w:p>
    <w:p>
      <w:pPr>
        <w:spacing w:line="640" w:lineRule="exact"/>
        <w:ind w:firstLine="0" w:firstLineChars="0"/>
        <w:jc w:val="center"/>
        <w:rPr>
          <w:rFonts w:hint="eastAsia" w:eastAsia="方正小标宋简体" w:cs="Times New Roman"/>
          <w:color w:val="000000" w:themeColor="text1"/>
          <w:spacing w:val="-16"/>
          <w:sz w:val="44"/>
          <w:szCs w:val="36"/>
          <w14:textFill>
            <w14:solidFill>
              <w14:schemeClr w14:val="tx1"/>
            </w14:solidFill>
          </w14:textFill>
        </w:rPr>
      </w:pPr>
      <w:r>
        <w:rPr>
          <w:rFonts w:hint="eastAsia" w:eastAsia="方正小标宋简体" w:cs="Times New Roman"/>
          <w:color w:val="000000" w:themeColor="text1"/>
          <w:spacing w:val="-16"/>
          <w:sz w:val="44"/>
          <w:szCs w:val="36"/>
          <w14:textFill>
            <w14:solidFill>
              <w14:schemeClr w14:val="tx1"/>
            </w14:solidFill>
          </w14:textFill>
        </w:rPr>
        <w:t>山亭区财政局关于坚决贯彻落实区委区政府决策部署全力支持“工业强区、产业兴区”、“双十镇”高质量发展和“山水林田大会战”工作的</w:t>
      </w:r>
    </w:p>
    <w:p>
      <w:pPr>
        <w:spacing w:line="640" w:lineRule="exact"/>
        <w:ind w:firstLine="0" w:firstLineChars="0"/>
        <w:jc w:val="center"/>
        <w:rPr>
          <w:rFonts w:eastAsia="方正小标宋简体" w:cs="Times New Roman"/>
          <w:color w:val="000000" w:themeColor="text1"/>
          <w:spacing w:val="-16"/>
          <w:sz w:val="44"/>
          <w:szCs w:val="36"/>
          <w14:textFill>
            <w14:solidFill>
              <w14:schemeClr w14:val="tx1"/>
            </w14:solidFill>
          </w14:textFill>
        </w:rPr>
      </w:pPr>
      <w:r>
        <w:rPr>
          <w:rFonts w:hint="eastAsia" w:eastAsia="方正小标宋简体" w:cs="Times New Roman"/>
          <w:color w:val="000000" w:themeColor="text1"/>
          <w:spacing w:val="-16"/>
          <w:sz w:val="44"/>
          <w:szCs w:val="36"/>
          <w14:textFill>
            <w14:solidFill>
              <w14:schemeClr w14:val="tx1"/>
            </w14:solidFill>
          </w14:textFill>
        </w:rPr>
        <w:t>实施方案</w:t>
      </w:r>
    </w:p>
    <w:p>
      <w:pPr>
        <w:pStyle w:val="2"/>
        <w:ind w:left="640" w:firstLine="388"/>
        <w:rPr>
          <w:color w:val="000000" w:themeColor="text1"/>
          <w:spacing w:val="-8"/>
          <w14:textFill>
            <w14:solidFill>
              <w14:schemeClr w14:val="tx1"/>
            </w14:solidFill>
          </w14:textFill>
        </w:rPr>
      </w:pPr>
    </w:p>
    <w:p>
      <w:pPr>
        <w:pStyle w:val="2"/>
        <w:ind w:left="640" w:firstLine="388"/>
        <w:rPr>
          <w:color w:val="000000" w:themeColor="text1"/>
          <w:spacing w:val="-8"/>
          <w14:textFill>
            <w14:solidFill>
              <w14:schemeClr w14:val="tx1"/>
            </w14:solidFill>
          </w14:textFill>
        </w:rPr>
      </w:pPr>
    </w:p>
    <w:p>
      <w:pPr>
        <w:ind w:firstLine="608"/>
        <w:rPr>
          <w:rFonts w:ascii="仿宋_GB2312" w:hAnsi="仿宋_GB2312" w:cs="仿宋_GB2312"/>
          <w:color w:val="000000" w:themeColor="text1"/>
          <w:spacing w:val="-8"/>
          <w:szCs w:val="32"/>
          <w14:textFill>
            <w14:solidFill>
              <w14:schemeClr w14:val="tx1"/>
            </w14:solidFill>
          </w14:textFill>
        </w:rPr>
      </w:pPr>
      <w:r>
        <w:rPr>
          <w:rFonts w:hint="eastAsia" w:ascii="仿宋_GB2312" w:hAnsi="仿宋_GB2312" w:cs="仿宋_GB2312"/>
          <w:color w:val="000000" w:themeColor="text1"/>
          <w:spacing w:val="-8"/>
          <w:szCs w:val="32"/>
          <w14:textFill>
            <w14:solidFill>
              <w14:schemeClr w14:val="tx1"/>
            </w14:solidFill>
          </w14:textFill>
        </w:rPr>
        <w:t>为深入贯彻落实区委、区政府重大决策部署，充分发挥财政职能作用，精准支持“工业强区、产业兴区”三年攻坚突破行动、“双十镇”建设和“山水林田大会战”，推进新时代现代化强区建设，现提出以下意见。</w:t>
      </w:r>
    </w:p>
    <w:p>
      <w:pPr>
        <w:ind w:firstLine="608"/>
        <w:rPr>
          <w:rFonts w:ascii="黑体" w:hAnsi="黑体" w:eastAsia="黑体" w:cs="黑体"/>
          <w:color w:val="000000" w:themeColor="text1"/>
          <w:spacing w:val="-8"/>
          <w14:textFill>
            <w14:solidFill>
              <w14:schemeClr w14:val="tx1"/>
            </w14:solidFill>
          </w14:textFill>
        </w:rPr>
      </w:pPr>
      <w:r>
        <w:rPr>
          <w:rFonts w:hint="eastAsia" w:ascii="黑体" w:hAnsi="黑体" w:eastAsia="黑体" w:cs="黑体"/>
          <w:color w:val="000000" w:themeColor="text1"/>
          <w:spacing w:val="-8"/>
          <w14:textFill>
            <w14:solidFill>
              <w14:schemeClr w14:val="tx1"/>
            </w14:solidFill>
          </w14:textFill>
        </w:rPr>
        <w:t>一、提高政治站位，切实增强工作责任感使命感</w:t>
      </w:r>
    </w:p>
    <w:p>
      <w:pPr>
        <w:ind w:firstLine="608"/>
        <w:rPr>
          <w:rFonts w:ascii="仿宋_GB2312" w:hAnsi="仿宋_GB2312" w:cs="仿宋_GB2312"/>
          <w:color w:val="000000" w:themeColor="text1"/>
          <w:spacing w:val="-8"/>
          <w:szCs w:val="32"/>
          <w14:textFill>
            <w14:solidFill>
              <w14:schemeClr w14:val="tx1"/>
            </w14:solidFill>
          </w14:textFill>
        </w:rPr>
      </w:pPr>
      <w:r>
        <w:rPr>
          <w:rFonts w:hint="eastAsia" w:ascii="仿宋_GB2312" w:hAnsi="仿宋_GB2312" w:cs="仿宋_GB2312"/>
          <w:color w:val="000000" w:themeColor="text1"/>
          <w:spacing w:val="-8"/>
          <w:szCs w:val="32"/>
          <w14:textFill>
            <w14:solidFill>
              <w14:schemeClr w14:val="tx1"/>
            </w14:solidFill>
          </w14:textFill>
        </w:rPr>
        <w:t>“工业强区、产业兴区”三年攻坚突破行动、“双十镇”建设和“山水林田大会战”是区委区政府立足新发展阶段、贯彻新发展理念、构建新发展格局作出的重大决策部署，是全区打基础、利长远、惠民生的大事实事，对于推动经济高质量发展、财政持续稳定增收、加快建设现代化强区具有重大而深远的意义。各级财政部门要进一步提高政治站位，强化“以政领财、财为政行”意识，切实增强责任感和使命感，把支持“工业强区、产业兴区”三年攻坚突破行动、“双十镇”建设和“山水林田大会战”作为当前重大政治任务，强化财政资金保障，集成创新财政政策，解放思想、改革创新，担当作为、攻坚克难，坚决把区委区政府各项决策部署落到实处，在新时代现代化强区建设征程中勇当“实干家”“行动派”，以优异成绩向建党100周年献礼！</w:t>
      </w:r>
    </w:p>
    <w:p>
      <w:pPr>
        <w:numPr>
          <w:ilvl w:val="0"/>
          <w:numId w:val="1"/>
        </w:numPr>
        <w:ind w:firstLine="608"/>
        <w:rPr>
          <w:rFonts w:ascii="黑体" w:hAnsi="黑体" w:eastAsia="黑体" w:cs="黑体"/>
          <w:color w:val="000000" w:themeColor="text1"/>
          <w:spacing w:val="-8"/>
          <w14:textFill>
            <w14:solidFill>
              <w14:schemeClr w14:val="tx1"/>
            </w14:solidFill>
          </w14:textFill>
        </w:rPr>
      </w:pPr>
      <w:r>
        <w:rPr>
          <w:rFonts w:hint="eastAsia" w:ascii="黑体" w:hAnsi="黑体" w:eastAsia="黑体" w:cs="黑体"/>
          <w:color w:val="000000" w:themeColor="text1"/>
          <w:spacing w:val="-8"/>
          <w14:textFill>
            <w14:solidFill>
              <w14:schemeClr w14:val="tx1"/>
            </w14:solidFill>
          </w14:textFill>
        </w:rPr>
        <w:t>发挥财政职能，全力保障重大决策部署实施</w:t>
      </w:r>
    </w:p>
    <w:p>
      <w:pPr>
        <w:pStyle w:val="2"/>
        <w:numPr>
          <w:ilvl w:val="0"/>
          <w:numId w:val="2"/>
        </w:numPr>
        <w:spacing w:after="0" w:line="560" w:lineRule="exact"/>
        <w:ind w:left="0" w:leftChars="0" w:firstLine="608"/>
        <w:rPr>
          <w:rFonts w:hint="eastAsia" w:ascii="仿宋_GB2312" w:hAnsi="仿宋_GB2312" w:eastAsia="仿宋_GB2312" w:cs="仿宋_GB2312"/>
          <w:color w:val="000000" w:themeColor="text1"/>
          <w:spacing w:val="-8"/>
          <w:sz w:val="32"/>
          <w:szCs w:val="32"/>
          <w14:textFill>
            <w14:solidFill>
              <w14:schemeClr w14:val="tx1"/>
            </w14:solidFill>
          </w14:textFill>
        </w:rPr>
      </w:pPr>
      <w:r>
        <w:rPr>
          <w:rFonts w:hint="eastAsia" w:ascii="楷体_GB2312" w:hAnsi="楷体_GB2312" w:eastAsia="楷体_GB2312" w:cs="楷体_GB2312"/>
          <w:color w:val="000000" w:themeColor="text1"/>
          <w:spacing w:val="-8"/>
          <w:sz w:val="32"/>
          <w:szCs w:val="32"/>
          <w14:textFill>
            <w14:solidFill>
              <w14:schemeClr w14:val="tx1"/>
            </w14:solidFill>
          </w14:textFill>
        </w:rPr>
        <w:t>全力支持“工业强区、产业兴区”</w:t>
      </w:r>
      <w:r>
        <w:rPr>
          <w:rFonts w:ascii="楷体_GB2312" w:hAnsi="楷体_GB2312" w:eastAsia="楷体_GB2312" w:cs="楷体_GB2312"/>
          <w:color w:val="000000" w:themeColor="text1"/>
          <w:spacing w:val="-8"/>
          <w:sz w:val="32"/>
          <w:szCs w:val="32"/>
          <w14:textFill>
            <w14:solidFill>
              <w14:schemeClr w14:val="tx1"/>
            </w14:solidFill>
          </w14:textFill>
        </w:rPr>
        <w:t>三年攻坚突破行动</w:t>
      </w:r>
    </w:p>
    <w:p>
      <w:pPr>
        <w:pStyle w:val="2"/>
        <w:spacing w:after="0" w:line="560" w:lineRule="exact"/>
        <w:ind w:left="0" w:leftChars="0" w:firstLine="611"/>
        <w:rPr>
          <w:rFonts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b/>
          <w:bCs/>
          <w:color w:val="000000" w:themeColor="text1"/>
          <w:spacing w:val="-8"/>
          <w:sz w:val="32"/>
          <w:szCs w:val="32"/>
          <w14:textFill>
            <w14:solidFill>
              <w14:schemeClr w14:val="tx1"/>
            </w14:solidFill>
          </w14:textFill>
        </w:rPr>
        <w:t>1.加大预算资金投入。</w:t>
      </w:r>
      <w:r>
        <w:rPr>
          <w:rFonts w:hint="eastAsia" w:ascii="仿宋_GB2312" w:hAnsi="仿宋_GB2312" w:eastAsia="仿宋_GB2312" w:cs="仿宋_GB2312"/>
          <w:color w:val="000000" w:themeColor="text1"/>
          <w:spacing w:val="-8"/>
          <w:sz w:val="32"/>
          <w:szCs w:val="32"/>
          <w14:textFill>
            <w14:solidFill>
              <w14:schemeClr w14:val="tx1"/>
            </w14:solidFill>
          </w14:textFill>
        </w:rPr>
        <w:t>按照轻重缓急合理安排预算，重点加大对“工业强区、产业兴区”</w:t>
      </w:r>
      <w:r>
        <w:rPr>
          <w:rFonts w:ascii="仿宋_GB2312" w:hAnsi="仿宋_GB2312" w:eastAsia="仿宋_GB2312" w:cs="仿宋_GB2312"/>
          <w:color w:val="000000" w:themeColor="text1"/>
          <w:spacing w:val="-8"/>
          <w:sz w:val="32"/>
          <w:szCs w:val="32"/>
          <w14:textFill>
            <w14:solidFill>
              <w14:schemeClr w14:val="tx1"/>
            </w14:solidFill>
          </w14:textFill>
        </w:rPr>
        <w:t>三年攻坚突破行动</w:t>
      </w:r>
      <w:r>
        <w:rPr>
          <w:rFonts w:hint="eastAsia" w:ascii="仿宋_GB2312" w:hAnsi="仿宋_GB2312" w:eastAsia="仿宋_GB2312" w:cs="仿宋_GB2312"/>
          <w:color w:val="000000" w:themeColor="text1"/>
          <w:spacing w:val="-8"/>
          <w:sz w:val="32"/>
          <w:szCs w:val="32"/>
          <w14:textFill>
            <w14:solidFill>
              <w14:schemeClr w14:val="tx1"/>
            </w14:solidFill>
          </w14:textFill>
        </w:rPr>
        <w:t>的支持力度。统筹工业经济高质量发展、人才专项、科技创新发展资金等专项资金，兑现“工业强区、产业兴区”三年攻坚突破行动的涉企奖补政策。探索建立企业科技投入递增奖励机制，围绕“7+3”现代产业开展“揭榜攻关”，不断提高产业竞争力。（牵头领导：张学来；责任单位：</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工业贸易股</w:t>
      </w:r>
      <w:r>
        <w:rPr>
          <w:rFonts w:hint="eastAsia" w:ascii="仿宋_GB2312" w:hAnsi="仿宋_GB2312" w:eastAsia="仿宋_GB2312" w:cs="仿宋_GB2312"/>
          <w:color w:val="000000" w:themeColor="text1"/>
          <w:spacing w:val="-8"/>
          <w:sz w:val="32"/>
          <w:szCs w:val="32"/>
          <w14:textFill>
            <w14:solidFill>
              <w14:schemeClr w14:val="tx1"/>
            </w14:solidFill>
          </w14:textFill>
        </w:rPr>
        <w:t>、</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教科文</w:t>
      </w:r>
      <w:r>
        <w:rPr>
          <w:rFonts w:hint="eastAsia" w:ascii="仿宋_GB2312" w:hAnsi="仿宋_GB2312" w:eastAsia="仿宋_GB2312" w:cs="仿宋_GB2312"/>
          <w:color w:val="000000" w:themeColor="text1"/>
          <w:spacing w:val="-8"/>
          <w:sz w:val="32"/>
          <w:szCs w:val="32"/>
          <w14:textFill>
            <w14:solidFill>
              <w14:schemeClr w14:val="tx1"/>
            </w14:solidFill>
          </w14:textFill>
        </w:rPr>
        <w:t>股及其他相关股室）</w:t>
      </w:r>
    </w:p>
    <w:p>
      <w:pPr>
        <w:pStyle w:val="2"/>
        <w:spacing w:after="0" w:line="560" w:lineRule="exact"/>
        <w:ind w:left="0" w:leftChars="0" w:firstLine="611"/>
        <w:rPr>
          <w:rFonts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b/>
          <w:bCs/>
          <w:color w:val="000000" w:themeColor="text1"/>
          <w:spacing w:val="-8"/>
          <w:sz w:val="32"/>
          <w:szCs w:val="32"/>
          <w14:textFill>
            <w14:solidFill>
              <w14:schemeClr w14:val="tx1"/>
            </w14:solidFill>
          </w14:textFill>
        </w:rPr>
        <w:t>2.全力争取上级扶持。</w:t>
      </w:r>
      <w:r>
        <w:rPr>
          <w:rFonts w:hint="eastAsia" w:ascii="仿宋_GB2312" w:hAnsi="仿宋_GB2312" w:eastAsia="仿宋_GB2312" w:cs="仿宋_GB2312"/>
          <w:color w:val="000000" w:themeColor="text1"/>
          <w:spacing w:val="-8"/>
          <w:sz w:val="32"/>
          <w:szCs w:val="32"/>
          <w14:textFill>
            <w14:solidFill>
              <w14:schemeClr w14:val="tx1"/>
            </w14:solidFill>
          </w14:textFill>
        </w:rPr>
        <w:t>围绕国家和省市重大规划布局、专项债项目，加大项目研究论证、策划包装力度，力争更多的项目纳入国家和省、市“大盘子”。</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聚焦“7+3”现代产业体系和“521”企业培壮行动计划，</w:t>
      </w:r>
      <w:r>
        <w:rPr>
          <w:rFonts w:hint="eastAsia" w:ascii="仿宋_GB2312" w:hAnsi="仿宋_GB2312" w:eastAsia="仿宋_GB2312" w:cs="仿宋_GB2312"/>
          <w:color w:val="000000" w:themeColor="text1"/>
          <w:spacing w:val="-8"/>
          <w:sz w:val="32"/>
          <w:szCs w:val="32"/>
          <w14:textFill>
            <w14:solidFill>
              <w14:schemeClr w14:val="tx1"/>
            </w14:solidFill>
          </w14:textFill>
        </w:rPr>
        <w:t>优先推荐符合条件工业企业争取市级以上扶持工业企业发展政策资金。认真落实省促进“六稳”“六保”高质量发展政策清单和促进经济高质量发展的一系列政策措施，</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主动对接</w:t>
      </w:r>
      <w:r>
        <w:rPr>
          <w:rFonts w:hint="eastAsia" w:ascii="仿宋_GB2312" w:hAnsi="仿宋_GB2312" w:eastAsia="仿宋_GB2312" w:cs="仿宋_GB2312"/>
          <w:color w:val="000000" w:themeColor="text1"/>
          <w:spacing w:val="-8"/>
          <w:sz w:val="32"/>
          <w:szCs w:val="32"/>
          <w14:textFill>
            <w14:solidFill>
              <w14:schemeClr w14:val="tx1"/>
            </w14:solidFill>
          </w14:textFill>
        </w:rPr>
        <w:t>，积极汇报，努力争取上级转移支付资金和债券额度，增加资金有效供给。（牵头领导：王冠；责任单位：预算股、</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债务办、工业贸易股及其他相关股室</w:t>
      </w:r>
      <w:r>
        <w:rPr>
          <w:rFonts w:hint="eastAsia" w:ascii="仿宋_GB2312" w:hAnsi="仿宋_GB2312" w:eastAsia="仿宋_GB2312" w:cs="仿宋_GB2312"/>
          <w:color w:val="000000" w:themeColor="text1"/>
          <w:spacing w:val="-8"/>
          <w:sz w:val="32"/>
          <w:szCs w:val="32"/>
          <w14:textFill>
            <w14:solidFill>
              <w14:schemeClr w14:val="tx1"/>
            </w14:solidFill>
          </w14:textFill>
        </w:rPr>
        <w:t>）</w:t>
      </w:r>
    </w:p>
    <w:p>
      <w:pPr>
        <w:pStyle w:val="2"/>
        <w:spacing w:after="0" w:line="560" w:lineRule="exact"/>
        <w:ind w:left="0" w:leftChars="0" w:firstLine="611"/>
        <w:rPr>
          <w:rFonts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b/>
          <w:bCs/>
          <w:color w:val="000000" w:themeColor="text1"/>
          <w:spacing w:val="-8"/>
          <w:sz w:val="32"/>
          <w:szCs w:val="32"/>
          <w14:textFill>
            <w14:solidFill>
              <w14:schemeClr w14:val="tx1"/>
            </w14:solidFill>
          </w14:textFill>
        </w:rPr>
        <w:t>3.发挥产业基金引导作用。</w:t>
      </w:r>
      <w:r>
        <w:rPr>
          <w:rFonts w:hint="eastAsia" w:ascii="仿宋_GB2312" w:hAnsi="仿宋_GB2312" w:eastAsia="仿宋_GB2312" w:cs="仿宋_GB2312"/>
          <w:color w:val="000000" w:themeColor="text1"/>
          <w:spacing w:val="-8"/>
          <w:sz w:val="32"/>
          <w:szCs w:val="32"/>
          <w14:textFill>
            <w14:solidFill>
              <w14:schemeClr w14:val="tx1"/>
            </w14:solidFill>
          </w14:textFill>
        </w:rPr>
        <w:t>扩大应急转贷基金规模，积极化解中小企业资金周转难题，降低企业融资成本。发挥</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政府</w:t>
      </w:r>
      <w:r>
        <w:rPr>
          <w:rFonts w:hint="eastAsia" w:ascii="仿宋_GB2312" w:hAnsi="仿宋_GB2312" w:eastAsia="仿宋_GB2312" w:cs="仿宋_GB2312"/>
          <w:color w:val="000000" w:themeColor="text1"/>
          <w:spacing w:val="-8"/>
          <w:sz w:val="32"/>
          <w:szCs w:val="32"/>
          <w14:textFill>
            <w14:solidFill>
              <w14:schemeClr w14:val="tx1"/>
            </w14:solidFill>
          </w14:textFill>
        </w:rPr>
        <w:t>基金政策引领、企业孵化和产业扶持作用，对高成长性企业进行股权投资，</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推进</w:t>
      </w:r>
      <w:r>
        <w:rPr>
          <w:rFonts w:hint="eastAsia" w:ascii="仿宋_GB2312" w:hAnsi="仿宋_GB2312" w:eastAsia="仿宋_GB2312" w:cs="仿宋_GB2312"/>
          <w:color w:val="000000" w:themeColor="text1"/>
          <w:spacing w:val="-8"/>
          <w:sz w:val="32"/>
          <w:szCs w:val="32"/>
          <w14:textFill>
            <w14:solidFill>
              <w14:schemeClr w14:val="tx1"/>
            </w14:solidFill>
          </w14:textFill>
        </w:rPr>
        <w:t>“双招双引”</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项目落地实施</w:t>
      </w:r>
      <w:r>
        <w:rPr>
          <w:rFonts w:hint="eastAsia" w:ascii="仿宋_GB2312" w:hAnsi="仿宋_GB2312" w:eastAsia="仿宋_GB2312" w:cs="仿宋_GB2312"/>
          <w:color w:val="000000" w:themeColor="text1"/>
          <w:spacing w:val="-8"/>
          <w:sz w:val="32"/>
          <w:szCs w:val="32"/>
          <w14:textFill>
            <w14:solidFill>
              <w14:schemeClr w14:val="tx1"/>
            </w14:solidFill>
          </w14:textFill>
        </w:rPr>
        <w:t>，</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积极培育</w:t>
      </w:r>
      <w:r>
        <w:rPr>
          <w:rFonts w:hint="eastAsia" w:ascii="仿宋_GB2312" w:hAnsi="仿宋_GB2312" w:eastAsia="仿宋_GB2312" w:cs="仿宋_GB2312"/>
          <w:color w:val="000000" w:themeColor="text1"/>
          <w:spacing w:val="-8"/>
          <w:sz w:val="32"/>
          <w:szCs w:val="32"/>
          <w14:textFill>
            <w14:solidFill>
              <w14:schemeClr w14:val="tx1"/>
            </w14:solidFill>
          </w14:textFill>
        </w:rPr>
        <w:t>企业发展壮大。（牵头领导：张学来；责任单位：工业贸易股</w:t>
      </w:r>
      <w:r>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8"/>
          <w:sz w:val="32"/>
          <w:szCs w:val="32"/>
          <w14:textFill>
            <w14:solidFill>
              <w14:schemeClr w14:val="tx1"/>
            </w14:solidFill>
          </w14:textFill>
        </w:rPr>
        <w:t>弘道财金公司）</w:t>
      </w:r>
    </w:p>
    <w:p>
      <w:pPr>
        <w:pStyle w:val="2"/>
        <w:spacing w:after="0" w:line="560" w:lineRule="exact"/>
        <w:ind w:left="0" w:leftChars="0" w:firstLine="611"/>
        <w:rPr>
          <w:rFonts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b/>
          <w:bCs/>
          <w:color w:val="000000" w:themeColor="text1"/>
          <w:spacing w:val="-8"/>
          <w:sz w:val="32"/>
          <w:szCs w:val="32"/>
          <w14:textFill>
            <w14:solidFill>
              <w14:schemeClr w14:val="tx1"/>
            </w14:solidFill>
          </w14:textFill>
        </w:rPr>
        <w:t>4.深化财政资金股权投资改革。</w:t>
      </w:r>
      <w:r>
        <w:rPr>
          <w:rFonts w:hint="eastAsia" w:ascii="仿宋_GB2312" w:hAnsi="仿宋_GB2312" w:eastAsia="仿宋_GB2312" w:cs="仿宋_GB2312"/>
          <w:color w:val="000000" w:themeColor="text1"/>
          <w:spacing w:val="-8"/>
          <w:sz w:val="32"/>
          <w:szCs w:val="32"/>
          <w14:textFill>
            <w14:solidFill>
              <w14:schemeClr w14:val="tx1"/>
            </w14:solidFill>
          </w14:textFill>
        </w:rPr>
        <w:t>统筹整合支持经济社会发展、产业转型升级、企业奖补等专项财政资金，安排一定比例用于实施股权投资，通过阶段性持股、适时退出的方式，实现财政资金的滚动支持、循环利用，提高财政资金使用效率。（牵头领导：张学来；责任单位：工业贸易股）</w:t>
      </w:r>
    </w:p>
    <w:p>
      <w:pPr>
        <w:pStyle w:val="2"/>
        <w:spacing w:after="0" w:line="560" w:lineRule="exact"/>
        <w:ind w:left="0" w:leftChars="0" w:firstLine="611"/>
        <w:rPr>
          <w:rFonts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b/>
          <w:bCs/>
          <w:color w:val="000000" w:themeColor="text1"/>
          <w:spacing w:val="-8"/>
          <w:sz w:val="32"/>
          <w:szCs w:val="32"/>
          <w14:textFill>
            <w14:solidFill>
              <w14:schemeClr w14:val="tx1"/>
            </w14:solidFill>
          </w14:textFill>
        </w:rPr>
        <w:t>5.支持国有企业做大做强。</w:t>
      </w:r>
      <w:r>
        <w:rPr>
          <w:rFonts w:hint="eastAsia" w:ascii="仿宋_GB2312" w:hAnsi="仿宋_GB2312" w:eastAsia="仿宋_GB2312" w:cs="仿宋_GB2312"/>
          <w:color w:val="000000" w:themeColor="text1"/>
          <w:spacing w:val="-8"/>
          <w:sz w:val="32"/>
          <w:szCs w:val="32"/>
          <w14:textFill>
            <w14:solidFill>
              <w14:schemeClr w14:val="tx1"/>
            </w14:solidFill>
          </w14:textFill>
        </w:rPr>
        <w:t>推动国有企业聚焦主责主业，</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围绕构建“7+3”现代产业体系，不断</w:t>
      </w:r>
      <w:r>
        <w:rPr>
          <w:rFonts w:hint="eastAsia" w:ascii="仿宋_GB2312" w:hAnsi="仿宋_GB2312" w:eastAsia="仿宋_GB2312" w:cs="仿宋_GB2312"/>
          <w:color w:val="000000" w:themeColor="text1"/>
          <w:spacing w:val="-8"/>
          <w:sz w:val="32"/>
          <w:szCs w:val="32"/>
          <w14:textFill>
            <w14:solidFill>
              <w14:schemeClr w14:val="tx1"/>
            </w14:solidFill>
          </w14:textFill>
        </w:rPr>
        <w:t>增资扩股、技改升级，发挥顶梁柱作用。引导国有企业集团市场化改革，成功引入战略投资者，签订混改项目战略合作协议并付诸实施，项目符合国有资本布局结构调整和企业发展战略规划，完成混改后并按照时间节点工程如期完工、项目正常运营的</w:t>
      </w:r>
      <w:r>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及</w:t>
      </w:r>
      <w:r>
        <w:rPr>
          <w:rFonts w:hint="eastAsia" w:ascii="仿宋_GB2312" w:hAnsi="仿宋_GB2312" w:eastAsia="仿宋_GB2312" w:cs="仿宋_GB2312"/>
          <w:color w:val="000000" w:themeColor="text1"/>
          <w:spacing w:val="-8"/>
          <w:sz w:val="32"/>
          <w:szCs w:val="32"/>
          <w14:textFill>
            <w14:solidFill>
              <w14:schemeClr w14:val="tx1"/>
            </w14:solidFill>
          </w14:textFill>
        </w:rPr>
        <w:t>项目投资外部优质集团成功完成股权分配</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的，给予适当</w:t>
      </w:r>
      <w:r>
        <w:rPr>
          <w:rFonts w:hint="eastAsia" w:ascii="仿宋_GB2312" w:hAnsi="仿宋_GB2312" w:eastAsia="仿宋_GB2312" w:cs="仿宋_GB2312"/>
          <w:color w:val="000000" w:themeColor="text1"/>
          <w:spacing w:val="-8"/>
          <w:sz w:val="32"/>
          <w:szCs w:val="32"/>
          <w14:textFill>
            <w14:solidFill>
              <w14:schemeClr w14:val="tx1"/>
            </w14:solidFill>
          </w14:textFill>
        </w:rPr>
        <w:t>奖励</w:t>
      </w:r>
      <w:r>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8"/>
          <w:sz w:val="32"/>
          <w:szCs w:val="32"/>
          <w14:textFill>
            <w14:solidFill>
              <w14:schemeClr w14:val="tx1"/>
            </w14:solidFill>
          </w14:textFill>
        </w:rPr>
        <w:t>奖补资金从新增税收的地方留成部分列支。（牵头领导：张学来；责任单位：工业贸易股）</w:t>
      </w:r>
    </w:p>
    <w:p>
      <w:pPr>
        <w:pStyle w:val="2"/>
        <w:spacing w:after="0" w:line="560" w:lineRule="exact"/>
        <w:ind w:left="0" w:leftChars="0" w:firstLine="611"/>
        <w:rPr>
          <w:rFonts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b/>
          <w:bCs/>
          <w:color w:val="000000" w:themeColor="text1"/>
          <w:spacing w:val="-8"/>
          <w:sz w:val="32"/>
          <w:szCs w:val="32"/>
          <w14:textFill>
            <w14:solidFill>
              <w14:schemeClr w14:val="tx1"/>
            </w14:solidFill>
          </w14:textFill>
        </w:rPr>
        <w:t>6.支持</w:t>
      </w:r>
      <w:r>
        <w:rPr>
          <w:rFonts w:ascii="仿宋_GB2312" w:hAnsi="仿宋_GB2312" w:eastAsia="仿宋_GB2312" w:cs="仿宋_GB2312"/>
          <w:b/>
          <w:bCs/>
          <w:color w:val="000000" w:themeColor="text1"/>
          <w:spacing w:val="-8"/>
          <w:sz w:val="32"/>
          <w:szCs w:val="32"/>
          <w14:textFill>
            <w14:solidFill>
              <w14:schemeClr w14:val="tx1"/>
            </w14:solidFill>
          </w14:textFill>
        </w:rPr>
        <w:t>实施企业家培育工程。</w:t>
      </w:r>
      <w:r>
        <w:rPr>
          <w:rFonts w:ascii="仿宋_GB2312" w:hAnsi="仿宋_GB2312" w:eastAsia="仿宋_GB2312" w:cs="仿宋_GB2312"/>
          <w:color w:val="000000" w:themeColor="text1"/>
          <w:spacing w:val="-8"/>
          <w:sz w:val="32"/>
          <w:szCs w:val="32"/>
          <w14:textFill>
            <w14:solidFill>
              <w14:schemeClr w14:val="tx1"/>
            </w14:solidFill>
          </w14:textFill>
        </w:rPr>
        <w:t>由区财政列支专项经费，每年组织2次国内高端培训，优先推荐能力强、可塑性好的优秀青年企业家到省级以上培训机构和世界知名企业总部考察学习，帮助广大企业家增强发展意识、提高发展境界、增强发展本领</w:t>
      </w:r>
      <w:r>
        <w:rPr>
          <w:rFonts w:hint="eastAsia" w:ascii="仿宋_GB2312" w:hAnsi="仿宋_GB2312" w:eastAsia="仿宋_GB2312" w:cs="仿宋_GB2312"/>
          <w:color w:val="000000" w:themeColor="text1"/>
          <w:spacing w:val="-8"/>
          <w:sz w:val="32"/>
          <w:szCs w:val="32"/>
          <w14:textFill>
            <w14:solidFill>
              <w14:schemeClr w14:val="tx1"/>
            </w14:solidFill>
          </w14:textFill>
        </w:rPr>
        <w:t>，</w:t>
      </w:r>
      <w:r>
        <w:rPr>
          <w:rFonts w:ascii="仿宋_GB2312" w:hAnsi="仿宋_GB2312" w:eastAsia="仿宋_GB2312" w:cs="仿宋_GB2312"/>
          <w:color w:val="000000" w:themeColor="text1"/>
          <w:spacing w:val="-8"/>
          <w:sz w:val="32"/>
          <w:szCs w:val="32"/>
          <w14:textFill>
            <w14:solidFill>
              <w14:schemeClr w14:val="tx1"/>
            </w14:solidFill>
          </w14:textFill>
        </w:rPr>
        <w:t>大力培树和弘扬广大企业家敢为人先的创新精神、精益求精的工匠精神、诚信尽责的担当精神</w:t>
      </w:r>
      <w:r>
        <w:rPr>
          <w:rFonts w:hint="eastAsia" w:ascii="仿宋_GB2312" w:hAnsi="仿宋_GB2312" w:eastAsia="仿宋_GB2312" w:cs="仿宋_GB2312"/>
          <w:color w:val="000000" w:themeColor="text1"/>
          <w:spacing w:val="-8"/>
          <w:sz w:val="32"/>
          <w:szCs w:val="32"/>
          <w14:textFill>
            <w14:solidFill>
              <w14:schemeClr w14:val="tx1"/>
            </w14:solidFill>
          </w14:textFill>
        </w:rPr>
        <w:t>。（牵头领导：张学来；责任单位：工业贸易股）</w:t>
      </w:r>
    </w:p>
    <w:p>
      <w:pPr>
        <w:pStyle w:val="2"/>
        <w:spacing w:after="0" w:line="560" w:lineRule="exact"/>
        <w:ind w:left="0" w:leftChars="0" w:firstLine="611"/>
        <w:rPr>
          <w:rFonts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b/>
          <w:bCs/>
          <w:color w:val="000000" w:themeColor="text1"/>
          <w:spacing w:val="-8"/>
          <w:sz w:val="32"/>
          <w:szCs w:val="32"/>
          <w14:textFill>
            <w14:solidFill>
              <w14:schemeClr w14:val="tx1"/>
            </w14:solidFill>
          </w14:textFill>
        </w:rPr>
        <w:t>7.发挥政府采购支持经济发展作用。</w:t>
      </w:r>
      <w:r>
        <w:rPr>
          <w:rFonts w:hint="eastAsia" w:ascii="仿宋_GB2312" w:hAnsi="仿宋_GB2312" w:eastAsia="仿宋_GB2312" w:cs="仿宋_GB2312"/>
          <w:color w:val="000000" w:themeColor="text1"/>
          <w:spacing w:val="-8"/>
          <w:sz w:val="32"/>
          <w:szCs w:val="32"/>
          <w14:textFill>
            <w14:solidFill>
              <w14:schemeClr w14:val="tx1"/>
            </w14:solidFill>
          </w14:textFill>
        </w:rPr>
        <w:t>赋予采购人使用财政性资金进行政府采购时自主选择招标代理机构。消除在招投标过程中对不同所有制企业设置的各类不合理限制和壁垒，让更多中小微企业充分参与合法竞争。实施智能化交易系统建设，推进全流程电子化交易，提升交易服务效能。采购人、采购代理机构不得收取投标保证金，不得变通或变相收取其他没有法律依据的任何费用，降低投标企业制度性交易成本，发挥政府采购支持经济发展作用。（牵头领导：王辉；责任单位：</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财政事务中心</w:t>
      </w:r>
      <w:r>
        <w:rPr>
          <w:rFonts w:hint="eastAsia" w:ascii="仿宋_GB2312" w:hAnsi="仿宋_GB2312" w:eastAsia="仿宋_GB2312" w:cs="仿宋_GB2312"/>
          <w:color w:val="000000" w:themeColor="text1"/>
          <w:spacing w:val="-8"/>
          <w:sz w:val="32"/>
          <w:szCs w:val="32"/>
          <w14:textFill>
            <w14:solidFill>
              <w14:schemeClr w14:val="tx1"/>
            </w14:solidFill>
          </w14:textFill>
        </w:rPr>
        <w:t>）</w:t>
      </w:r>
    </w:p>
    <w:p>
      <w:pPr>
        <w:pStyle w:val="2"/>
        <w:spacing w:after="0" w:line="560" w:lineRule="exact"/>
        <w:ind w:left="0" w:leftChars="0" w:firstLine="611"/>
        <w:rPr>
          <w:rFonts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b/>
          <w:bCs/>
          <w:color w:val="000000" w:themeColor="text1"/>
          <w:spacing w:val="-8"/>
          <w:sz w:val="32"/>
          <w:szCs w:val="32"/>
          <w14:textFill>
            <w14:solidFill>
              <w14:schemeClr w14:val="tx1"/>
            </w14:solidFill>
          </w14:textFill>
        </w:rPr>
        <w:t>8.提高政府财政运行综合绩效，</w:t>
      </w:r>
      <w:r>
        <w:rPr>
          <w:rFonts w:hint="eastAsia" w:ascii="仿宋_GB2312" w:hAnsi="仿宋_GB2312" w:eastAsia="仿宋_GB2312" w:cs="仿宋_GB2312"/>
          <w:color w:val="000000" w:themeColor="text1"/>
          <w:spacing w:val="-8"/>
          <w:sz w:val="32"/>
          <w:szCs w:val="32"/>
          <w14:textFill>
            <w14:solidFill>
              <w14:schemeClr w14:val="tx1"/>
            </w14:solidFill>
          </w14:textFill>
        </w:rPr>
        <w:t>健全以绩效为导向的分配体系。开展重点政策和项目全周期跟踪问效试点，对支持“工业强区、产业兴区”各项资金使用情况进行全方位、全过程、全覆盖的预算绩效管理，将绩效管理结果与预算安排、政策调整和资金支出挂起钩来，推动资金落实、优化政策体系，提高财政资源配置的实效性、科学性、合理性，做到花钱必问效、无效必问责。（牵头领导：王辉；责任单位：</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预算绩效评价中心及其他相关股室</w:t>
      </w:r>
      <w:r>
        <w:rPr>
          <w:rFonts w:hint="eastAsia" w:ascii="仿宋_GB2312" w:hAnsi="仿宋_GB2312" w:eastAsia="仿宋_GB2312" w:cs="仿宋_GB2312"/>
          <w:color w:val="000000" w:themeColor="text1"/>
          <w:spacing w:val="-8"/>
          <w:sz w:val="32"/>
          <w:szCs w:val="32"/>
          <w14:textFill>
            <w14:solidFill>
              <w14:schemeClr w14:val="tx1"/>
            </w14:solidFill>
          </w14:textFill>
        </w:rPr>
        <w:t>）</w:t>
      </w:r>
    </w:p>
    <w:p>
      <w:pPr>
        <w:pStyle w:val="2"/>
        <w:spacing w:after="0" w:line="560" w:lineRule="exact"/>
        <w:ind w:left="0" w:leftChars="0" w:firstLine="608"/>
        <w:rPr>
          <w:rFonts w:ascii="楷体_GB2312" w:hAnsi="楷体_GB2312" w:eastAsia="楷体_GB2312" w:cs="楷体_GB2312"/>
          <w:color w:val="000000" w:themeColor="text1"/>
          <w:spacing w:val="-8"/>
          <w:sz w:val="32"/>
          <w:szCs w:val="32"/>
          <w14:textFill>
            <w14:solidFill>
              <w14:schemeClr w14:val="tx1"/>
            </w14:solidFill>
          </w14:textFill>
        </w:rPr>
      </w:pPr>
      <w:r>
        <w:rPr>
          <w:rFonts w:ascii="楷体_GB2312" w:hAnsi="楷体_GB2312" w:eastAsia="楷体_GB2312" w:cs="楷体_GB2312"/>
          <w:color w:val="000000" w:themeColor="text1"/>
          <w:spacing w:val="-8"/>
          <w:sz w:val="32"/>
          <w:szCs w:val="32"/>
          <w14:textFill>
            <w14:solidFill>
              <w14:schemeClr w14:val="tx1"/>
            </w14:solidFill>
          </w14:textFill>
        </w:rPr>
        <w:t xml:space="preserve">（二）支持“双十镇”建设和“山水林田大会战” </w:t>
      </w:r>
    </w:p>
    <w:p>
      <w:pPr>
        <w:pStyle w:val="2"/>
        <w:spacing w:after="0" w:line="560" w:lineRule="exact"/>
        <w:ind w:left="0" w:leftChars="0" w:firstLine="611"/>
        <w:rPr>
          <w:rFonts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b/>
          <w:bCs/>
          <w:color w:val="000000" w:themeColor="text1"/>
          <w:spacing w:val="-8"/>
          <w:sz w:val="32"/>
          <w:szCs w:val="32"/>
          <w14:textFill>
            <w14:solidFill>
              <w14:schemeClr w14:val="tx1"/>
            </w14:solidFill>
          </w14:textFill>
        </w:rPr>
        <w:t>9.调整和优化财税分配方式。</w:t>
      </w:r>
      <w:r>
        <w:rPr>
          <w:rFonts w:hint="eastAsia" w:ascii="仿宋_GB2312" w:hAnsi="仿宋_GB2312" w:eastAsia="仿宋_GB2312" w:cs="仿宋_GB2312"/>
          <w:color w:val="000000" w:themeColor="text1"/>
          <w:spacing w:val="-8"/>
          <w:sz w:val="32"/>
          <w:szCs w:val="32"/>
          <w14:textFill>
            <w14:solidFill>
              <w14:schemeClr w14:val="tx1"/>
            </w14:solidFill>
          </w14:textFill>
        </w:rPr>
        <w:t>加大对“双十镇”专项转移支付和一般性转移支付力度，在“双十镇”境内收取的土地出让金净收入，除国家和省规定有明确用途外，市级以下部分全部由“双十镇”留用。自2021年起，3年内“双十镇”新增财力全部留在本镇。（牵头领导：王冠；责任单位：预算股</w:t>
      </w:r>
      <w:r>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综合股</w:t>
      </w:r>
      <w:r>
        <w:rPr>
          <w:rFonts w:hint="eastAsia" w:ascii="仿宋_GB2312" w:hAnsi="仿宋_GB2312" w:eastAsia="仿宋_GB2312" w:cs="仿宋_GB2312"/>
          <w:color w:val="000000" w:themeColor="text1"/>
          <w:spacing w:val="-8"/>
          <w:sz w:val="32"/>
          <w:szCs w:val="32"/>
          <w14:textFill>
            <w14:solidFill>
              <w14:schemeClr w14:val="tx1"/>
            </w14:solidFill>
          </w14:textFill>
        </w:rPr>
        <w:t>）</w:t>
      </w:r>
    </w:p>
    <w:p>
      <w:pPr>
        <w:pStyle w:val="2"/>
        <w:spacing w:after="0" w:line="560" w:lineRule="exact"/>
        <w:ind w:left="0" w:leftChars="0" w:firstLine="611"/>
        <w:rPr>
          <w:rFonts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b/>
          <w:bCs/>
          <w:color w:val="000000" w:themeColor="text1"/>
          <w:spacing w:val="-8"/>
          <w:sz w:val="32"/>
          <w:szCs w:val="32"/>
          <w14:textFill>
            <w14:solidFill>
              <w14:schemeClr w14:val="tx1"/>
            </w14:solidFill>
          </w14:textFill>
        </w:rPr>
        <w:t>10.安排财政专项扶持资金。</w:t>
      </w:r>
      <w:r>
        <w:rPr>
          <w:rFonts w:hint="eastAsia" w:ascii="仿宋_GB2312" w:hAnsi="仿宋_GB2312" w:eastAsia="仿宋_GB2312" w:cs="仿宋_GB2312"/>
          <w:color w:val="000000" w:themeColor="text1"/>
          <w:spacing w:val="-8"/>
          <w:sz w:val="32"/>
          <w:szCs w:val="32"/>
          <w14:textFill>
            <w14:solidFill>
              <w14:schemeClr w14:val="tx1"/>
            </w14:solidFill>
          </w14:textFill>
        </w:rPr>
        <w:t>从2021年起，区财政连续三年按市级专项资金1:1比例配套区级专项资金支持乡村振兴示范镇高质量发展；从2022年起，区财政连续三年按市级专项资金1:1比例配套区级专项资金对乡村振兴特色镇给予支持。（牵头领导：张学来；责任单位：农业股、经济建设股）</w:t>
      </w:r>
    </w:p>
    <w:p>
      <w:pPr>
        <w:pStyle w:val="2"/>
        <w:spacing w:after="0" w:line="560" w:lineRule="exact"/>
        <w:ind w:left="0" w:leftChars="0" w:firstLine="611"/>
        <w:rPr>
          <w:rFonts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b/>
          <w:bCs/>
          <w:color w:val="000000" w:themeColor="text1"/>
          <w:spacing w:val="-8"/>
          <w:sz w:val="32"/>
          <w:szCs w:val="32"/>
          <w14:textFill>
            <w14:solidFill>
              <w14:schemeClr w14:val="tx1"/>
            </w14:solidFill>
          </w14:textFill>
        </w:rPr>
        <w:t>11.争取上级政策资金支持。</w:t>
      </w:r>
      <w:r>
        <w:rPr>
          <w:rFonts w:hint="eastAsia" w:ascii="仿宋_GB2312" w:hAnsi="仿宋_GB2312" w:eastAsia="仿宋_GB2312" w:cs="仿宋_GB2312"/>
          <w:color w:val="000000" w:themeColor="text1"/>
          <w:spacing w:val="-8"/>
          <w:sz w:val="32"/>
          <w:szCs w:val="32"/>
          <w14:textFill>
            <w14:solidFill>
              <w14:schemeClr w14:val="tx1"/>
            </w14:solidFill>
          </w14:textFill>
        </w:rPr>
        <w:t>优先推荐“双十镇”重点建设项目、特色优势产业项目纳入山亭区国家可持续发展试验区、枣庄可持续发展议程创新示范区支持项目，并积极为“双十镇”优质企业和特色产业集群申报各项扶持项目，争取上级政策和资金向“双十镇”倾斜。（牵头领导：王冠；责任单位：预算股</w:t>
      </w:r>
      <w:r>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债务办、</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农业股、工业贸易股</w:t>
      </w:r>
      <w:r>
        <w:rPr>
          <w:rFonts w:hint="eastAsia" w:ascii="仿宋_GB2312" w:hAnsi="仿宋_GB2312" w:eastAsia="仿宋_GB2312" w:cs="仿宋_GB2312"/>
          <w:color w:val="000000" w:themeColor="text1"/>
          <w:spacing w:val="-8"/>
          <w:sz w:val="32"/>
          <w:szCs w:val="32"/>
          <w14:textFill>
            <w14:solidFill>
              <w14:schemeClr w14:val="tx1"/>
            </w14:solidFill>
          </w14:textFill>
        </w:rPr>
        <w:t>及其他相关股室）</w:t>
      </w:r>
      <w:bookmarkStart w:id="0" w:name="_GoBack"/>
      <w:bookmarkEnd w:id="0"/>
    </w:p>
    <w:p>
      <w:pPr>
        <w:pStyle w:val="2"/>
        <w:spacing w:after="0" w:line="560" w:lineRule="exact"/>
        <w:ind w:left="0" w:leftChars="0" w:firstLine="611"/>
        <w:rPr>
          <w:rFonts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b/>
          <w:bCs/>
          <w:color w:val="000000" w:themeColor="text1"/>
          <w:spacing w:val="-8"/>
          <w:sz w:val="32"/>
          <w:szCs w:val="32"/>
          <w14:textFill>
            <w14:solidFill>
              <w14:schemeClr w14:val="tx1"/>
            </w14:solidFill>
          </w14:textFill>
        </w:rPr>
        <w:t>12.发挥奖补资金激励作用。</w:t>
      </w:r>
      <w:r>
        <w:rPr>
          <w:rFonts w:hint="eastAsia" w:ascii="仿宋_GB2312" w:hAnsi="仿宋_GB2312" w:eastAsia="仿宋_GB2312" w:cs="仿宋_GB2312"/>
          <w:color w:val="000000" w:themeColor="text1"/>
          <w:spacing w:val="-8"/>
          <w:sz w:val="32"/>
          <w:szCs w:val="32"/>
          <w14:textFill>
            <w14:solidFill>
              <w14:schemeClr w14:val="tx1"/>
            </w14:solidFill>
          </w14:textFill>
        </w:rPr>
        <w:t>在全区城乡环卫一体化和镇域环境综合整治奖补资金中，增加“双十镇”奖补资金。从2021年起，在安排乡村振兴、涉农资金统筹整合、“四好农村路”建设、农村环境综合整治奖补资金时，优先向“双十镇”倾斜。镇域范围内的砂石等矿产资源开发实现的税收，区级留成部分予以重点支持“双十镇”建设。根据“山水林田大会战”工程项目建设情况，对镇街进行财政资金奖补。（牵头领导：张学来</w:t>
      </w:r>
      <w:r>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孙祥军</w:t>
      </w:r>
      <w:r>
        <w:rPr>
          <w:rFonts w:hint="eastAsia" w:ascii="仿宋_GB2312" w:hAnsi="仿宋_GB2312" w:eastAsia="仿宋_GB2312" w:cs="仿宋_GB2312"/>
          <w:color w:val="000000" w:themeColor="text1"/>
          <w:spacing w:val="-8"/>
          <w:sz w:val="32"/>
          <w:szCs w:val="32"/>
          <w14:textFill>
            <w14:solidFill>
              <w14:schemeClr w14:val="tx1"/>
            </w14:solidFill>
          </w14:textFill>
        </w:rPr>
        <w:t>；责任单位：农业股、经济建设股及其他相关股室）</w:t>
      </w:r>
    </w:p>
    <w:p>
      <w:pPr>
        <w:pStyle w:val="2"/>
        <w:spacing w:after="0" w:line="560" w:lineRule="exact"/>
        <w:ind w:left="0" w:leftChars="0" w:firstLine="611"/>
        <w:rPr>
          <w:rFonts w:hint="eastAsia"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b/>
          <w:bCs/>
          <w:color w:val="000000" w:themeColor="text1"/>
          <w:spacing w:val="-8"/>
          <w:sz w:val="32"/>
          <w:szCs w:val="32"/>
          <w14:textFill>
            <w14:solidFill>
              <w14:schemeClr w14:val="tx1"/>
            </w14:solidFill>
          </w14:textFill>
        </w:rPr>
        <w:t>13.积极引导社会资本投入。</w:t>
      </w:r>
      <w:r>
        <w:rPr>
          <w:rFonts w:hint="eastAsia" w:ascii="仿宋_GB2312" w:hAnsi="仿宋_GB2312" w:eastAsia="仿宋_GB2312" w:cs="仿宋_GB2312"/>
          <w:color w:val="000000" w:themeColor="text1"/>
          <w:spacing w:val="-8"/>
          <w:sz w:val="32"/>
          <w:szCs w:val="32"/>
          <w14:textFill>
            <w14:solidFill>
              <w14:schemeClr w14:val="tx1"/>
            </w14:solidFill>
          </w14:textFill>
        </w:rPr>
        <w:t>积极调动社会资本、金融资本参与，争取农发行政策性贷款资金，构建多层次、多渠道、多形式的投入机制。探索乡村振兴及山水林田治理有稳定收益的公益性项目，推广政府和社会资本合作模式的实施路径和机制，让社会资本投资可预期、有回报、能持续，依法合规、有序推进政府和社会资本合作。（牵头领导：</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宋永春</w:t>
      </w:r>
      <w:r>
        <w:rPr>
          <w:rFonts w:hint="eastAsia" w:ascii="仿宋_GB2312" w:hAnsi="仿宋_GB2312" w:eastAsia="仿宋_GB2312" w:cs="仿宋_GB2312"/>
          <w:color w:val="000000" w:themeColor="text1"/>
          <w:spacing w:val="-8"/>
          <w:sz w:val="32"/>
          <w:szCs w:val="32"/>
          <w14:textFill>
            <w14:solidFill>
              <w14:schemeClr w14:val="tx1"/>
            </w14:solidFill>
          </w14:textFill>
        </w:rPr>
        <w:t>；责任单位：政府与社会资本合作中心、山兴集团</w:t>
      </w:r>
      <w:r>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山亿集团</w:t>
      </w:r>
      <w:r>
        <w:rPr>
          <w:rFonts w:hint="eastAsia" w:ascii="仿宋_GB2312" w:hAnsi="仿宋_GB2312" w:eastAsia="仿宋_GB2312" w:cs="仿宋_GB2312"/>
          <w:color w:val="000000" w:themeColor="text1"/>
          <w:spacing w:val="-8"/>
          <w:sz w:val="32"/>
          <w:szCs w:val="32"/>
          <w14:textFill>
            <w14:solidFill>
              <w14:schemeClr w14:val="tx1"/>
            </w14:solidFill>
          </w14:textFill>
        </w:rPr>
        <w:t>及其他相关股室）</w:t>
      </w:r>
    </w:p>
    <w:p>
      <w:pPr>
        <w:numPr>
          <w:ilvl w:val="0"/>
          <w:numId w:val="1"/>
        </w:numPr>
        <w:ind w:firstLine="608"/>
        <w:rPr>
          <w:rFonts w:ascii="黑体" w:hAnsi="黑体" w:eastAsia="黑体" w:cs="黑体"/>
          <w:color w:val="000000" w:themeColor="text1"/>
          <w:spacing w:val="-8"/>
          <w14:textFill>
            <w14:solidFill>
              <w14:schemeClr w14:val="tx1"/>
            </w14:solidFill>
          </w14:textFill>
        </w:rPr>
      </w:pPr>
      <w:r>
        <w:rPr>
          <w:rFonts w:hint="eastAsia" w:ascii="黑体" w:hAnsi="黑体" w:eastAsia="黑体" w:cs="黑体"/>
          <w:color w:val="000000" w:themeColor="text1"/>
          <w:spacing w:val="-8"/>
          <w14:textFill>
            <w14:solidFill>
              <w14:schemeClr w14:val="tx1"/>
            </w14:solidFill>
          </w14:textFill>
        </w:rPr>
        <w:t>强化组织保障，确保各项政策措施落地落实落细</w:t>
      </w:r>
    </w:p>
    <w:p>
      <w:pPr>
        <w:ind w:firstLine="611"/>
        <w:rPr>
          <w:rFonts w:ascii="仿宋_GB2312" w:hAnsi="仿宋_GB2312" w:cs="仿宋_GB2312"/>
          <w:color w:val="000000" w:themeColor="text1"/>
          <w:spacing w:val="-8"/>
          <w:szCs w:val="32"/>
          <w14:textFill>
            <w14:solidFill>
              <w14:schemeClr w14:val="tx1"/>
            </w14:solidFill>
          </w14:textFill>
        </w:rPr>
      </w:pPr>
      <w:r>
        <w:rPr>
          <w:rFonts w:hint="eastAsia" w:ascii="仿宋_GB2312" w:hAnsi="仿宋_GB2312" w:cs="仿宋_GB2312"/>
          <w:b/>
          <w:bCs/>
          <w:color w:val="000000" w:themeColor="text1"/>
          <w:spacing w:val="-8"/>
          <w:szCs w:val="32"/>
          <w14:textFill>
            <w14:solidFill>
              <w14:schemeClr w14:val="tx1"/>
            </w14:solidFill>
          </w14:textFill>
        </w:rPr>
        <w:t>14.夯实工作责任。</w:t>
      </w:r>
      <w:r>
        <w:rPr>
          <w:rFonts w:hint="eastAsia" w:ascii="仿宋_GB2312" w:hAnsi="仿宋_GB2312" w:cs="仿宋_GB2312"/>
          <w:color w:val="000000" w:themeColor="text1"/>
          <w:spacing w:val="-8"/>
          <w:szCs w:val="32"/>
          <w14:textFill>
            <w14:solidFill>
              <w14:schemeClr w14:val="tx1"/>
            </w14:solidFill>
          </w14:textFill>
        </w:rPr>
        <w:t>坚持党组领导、分线作战，根据工作需要分头成立落实工作专班，负责区委区政府重大决策部署统筹协调，督导推进。坚持领导带头、以上率下，一级做给一级看、一级带着一级干，全力抓好牵头任务落实。坚持齐抓共管、全员参与，分工负责、协调配合，心往一处想</w:t>
      </w:r>
      <w:r>
        <w:rPr>
          <w:rFonts w:ascii="仿宋_GB2312" w:hAnsi="仿宋_GB2312" w:cs="仿宋_GB2312"/>
          <w:color w:val="000000" w:themeColor="text1"/>
          <w:spacing w:val="-8"/>
          <w:szCs w:val="32"/>
          <w14:textFill>
            <w14:solidFill>
              <w14:schemeClr w14:val="tx1"/>
            </w14:solidFill>
          </w14:textFill>
        </w:rPr>
        <w:t>、劲往一处使</w:t>
      </w:r>
      <w:r>
        <w:rPr>
          <w:rFonts w:hint="eastAsia" w:ascii="仿宋_GB2312" w:hAnsi="仿宋_GB2312" w:cs="仿宋_GB2312"/>
          <w:color w:val="000000" w:themeColor="text1"/>
          <w:spacing w:val="-8"/>
          <w:szCs w:val="32"/>
          <w14:textFill>
            <w14:solidFill>
              <w14:schemeClr w14:val="tx1"/>
            </w14:solidFill>
          </w14:textFill>
        </w:rPr>
        <w:t>，凝聚工作合力。</w:t>
      </w:r>
    </w:p>
    <w:p>
      <w:pPr>
        <w:ind w:firstLine="611"/>
        <w:rPr>
          <w:rFonts w:ascii="仿宋_GB2312" w:hAnsi="仿宋_GB2312" w:cs="仿宋_GB2312"/>
          <w:color w:val="000000" w:themeColor="text1"/>
          <w:spacing w:val="-8"/>
          <w:szCs w:val="32"/>
          <w14:textFill>
            <w14:solidFill>
              <w14:schemeClr w14:val="tx1"/>
            </w14:solidFill>
          </w14:textFill>
        </w:rPr>
      </w:pPr>
      <w:r>
        <w:rPr>
          <w:rFonts w:hint="eastAsia" w:ascii="仿宋_GB2312" w:hAnsi="仿宋_GB2312" w:cs="仿宋_GB2312"/>
          <w:b/>
          <w:bCs/>
          <w:color w:val="000000" w:themeColor="text1"/>
          <w:spacing w:val="-8"/>
          <w:szCs w:val="32"/>
          <w14:textFill>
            <w14:solidFill>
              <w14:schemeClr w14:val="tx1"/>
            </w14:solidFill>
          </w14:textFill>
        </w:rPr>
        <w:t>15.创新工作机制。</w:t>
      </w:r>
      <w:r>
        <w:rPr>
          <w:rFonts w:hint="eastAsia" w:ascii="仿宋_GB2312" w:hAnsi="仿宋_GB2312" w:cs="仿宋_GB2312"/>
          <w:color w:val="000000" w:themeColor="text1"/>
          <w:spacing w:val="-8"/>
          <w:szCs w:val="32"/>
          <w14:textFill>
            <w14:solidFill>
              <w14:schemeClr w14:val="tx1"/>
            </w14:solidFill>
          </w14:textFill>
        </w:rPr>
        <w:t>进一步解放思想、更新观念，切实转变理财思维和理财方式，着眼于全区发展大局，跳出财政看财政，学习借鉴先进经验做法，探索创新财政支持区委区政府重大决策部署的新途径、新思路和新举措，有效发挥财政政策资金的导向和带动作用，集中力量办大事。</w:t>
      </w:r>
    </w:p>
    <w:p>
      <w:pPr>
        <w:ind w:firstLine="611"/>
        <w:rPr>
          <w:rFonts w:ascii="仿宋_GB2312" w:hAnsi="仿宋_GB2312" w:cs="仿宋_GB2312"/>
          <w:color w:val="000000" w:themeColor="text1"/>
          <w:spacing w:val="-8"/>
          <w:szCs w:val="32"/>
          <w14:textFill>
            <w14:solidFill>
              <w14:schemeClr w14:val="tx1"/>
            </w14:solidFill>
          </w14:textFill>
        </w:rPr>
      </w:pPr>
      <w:r>
        <w:rPr>
          <w:rFonts w:hint="eastAsia" w:ascii="仿宋_GB2312" w:hAnsi="仿宋_GB2312" w:cs="仿宋_GB2312"/>
          <w:b/>
          <w:bCs/>
          <w:color w:val="000000" w:themeColor="text1"/>
          <w:spacing w:val="-8"/>
          <w:szCs w:val="32"/>
          <w14:textFill>
            <w14:solidFill>
              <w14:schemeClr w14:val="tx1"/>
            </w14:solidFill>
          </w14:textFill>
        </w:rPr>
        <w:t>16.强化督导考核。</w:t>
      </w:r>
      <w:r>
        <w:rPr>
          <w:rFonts w:hint="eastAsia" w:ascii="仿宋_GB2312" w:hAnsi="仿宋_GB2312" w:cs="仿宋_GB2312"/>
          <w:color w:val="000000" w:themeColor="text1"/>
          <w:spacing w:val="-8"/>
          <w:szCs w:val="32"/>
          <w14:textFill>
            <w14:solidFill>
              <w14:schemeClr w14:val="tx1"/>
            </w14:solidFill>
          </w14:textFill>
        </w:rPr>
        <w:t>建立重点工作“工作目标化、目标项目化、项目责任化”管理机制，明确任务、责任、时限和要求，实行“挂图作战”，采取</w:t>
      </w:r>
      <w:r>
        <w:rPr>
          <w:rFonts w:ascii="仿宋_GB2312" w:hAnsi="仿宋_GB2312" w:cs="仿宋_GB2312"/>
          <w:color w:val="000000" w:themeColor="text1"/>
          <w:spacing w:val="-8"/>
          <w:szCs w:val="32"/>
          <w14:textFill>
            <w14:solidFill>
              <w14:schemeClr w14:val="tx1"/>
            </w14:solidFill>
          </w14:textFill>
        </w:rPr>
        <w:t>“一周一查问、半月一督办、每月一通报、一季一点评、一年一考核”</w:t>
      </w:r>
      <w:r>
        <w:rPr>
          <w:rFonts w:hint="eastAsia" w:ascii="仿宋_GB2312" w:hAnsi="仿宋_GB2312" w:cs="仿宋_GB2312"/>
          <w:color w:val="000000" w:themeColor="text1"/>
          <w:spacing w:val="-8"/>
          <w:szCs w:val="32"/>
          <w14:textFill>
            <w14:solidFill>
              <w14:schemeClr w14:val="tx1"/>
            </w14:solidFill>
          </w14:textFill>
        </w:rPr>
        <w:t>办法，加大督导检查和考核问责力度，对落实不力或落实不到位的进行严肃问责。</w:t>
      </w:r>
    </w:p>
    <w:p>
      <w:pPr>
        <w:ind w:firstLine="611"/>
        <w:rPr>
          <w:rFonts w:ascii="仿宋_GB2312" w:hAnsi="仿宋_GB2312" w:cs="仿宋_GB2312"/>
          <w:color w:val="000000" w:themeColor="text1"/>
          <w:spacing w:val="-8"/>
          <w:szCs w:val="32"/>
          <w14:textFill>
            <w14:solidFill>
              <w14:schemeClr w14:val="tx1"/>
            </w14:solidFill>
          </w14:textFill>
        </w:rPr>
      </w:pPr>
      <w:r>
        <w:rPr>
          <w:rFonts w:hint="eastAsia" w:ascii="仿宋_GB2312" w:hAnsi="仿宋_GB2312" w:cs="仿宋_GB2312"/>
          <w:b/>
          <w:bCs/>
          <w:color w:val="000000" w:themeColor="text1"/>
          <w:spacing w:val="-8"/>
          <w:szCs w:val="32"/>
          <w14:textFill>
            <w14:solidFill>
              <w14:schemeClr w14:val="tx1"/>
            </w14:solidFill>
          </w14:textFill>
        </w:rPr>
        <w:t>17.加强宣传总结。</w:t>
      </w:r>
      <w:r>
        <w:rPr>
          <w:rFonts w:hint="eastAsia" w:ascii="仿宋_GB2312" w:hAnsi="仿宋_GB2312" w:cs="仿宋_GB2312"/>
          <w:color w:val="000000" w:themeColor="text1"/>
          <w:spacing w:val="-8"/>
          <w:szCs w:val="32"/>
          <w14:textFill>
            <w14:solidFill>
              <w14:schemeClr w14:val="tx1"/>
            </w14:solidFill>
          </w14:textFill>
        </w:rPr>
        <w:t>及时总结财政支持“工业强区、产业兴区”三年攻坚突破行动、“双十镇”高质量发展和“山水林田大会战”等工作进展情况和有关政策措施落实情况，广泛利用各种媒体，切实加大宣传力度，并及时主动反映工作中遇到的新情况、新问题，认真研究并提出相关政策建议。</w:t>
      </w:r>
    </w:p>
    <w:p>
      <w:pPr>
        <w:pStyle w:val="2"/>
        <w:ind w:left="0" w:leftChars="0" w:firstLine="0" w:firstLineChars="0"/>
      </w:pPr>
    </w:p>
    <w:p>
      <w:pPr>
        <w:ind w:left="1824" w:leftChars="190" w:hanging="1216" w:hangingChars="400"/>
        <w:rPr>
          <w:rFonts w:ascii="仿宋_GB2312" w:hAnsi="仿宋_GB2312" w:cs="仿宋_GB2312"/>
          <w:color w:val="000000" w:themeColor="text1"/>
          <w:spacing w:val="-8"/>
          <w:szCs w:val="32"/>
          <w14:textFill>
            <w14:solidFill>
              <w14:schemeClr w14:val="tx1"/>
            </w14:solidFill>
          </w14:textFill>
        </w:rPr>
      </w:pPr>
      <w:r>
        <w:rPr>
          <w:rFonts w:hint="eastAsia" w:ascii="仿宋_GB2312" w:hAnsi="仿宋_GB2312" w:cs="仿宋_GB2312"/>
          <w:color w:val="000000" w:themeColor="text1"/>
          <w:spacing w:val="-8"/>
          <w:szCs w:val="32"/>
          <w14:textFill>
            <w14:solidFill>
              <w14:schemeClr w14:val="tx1"/>
            </w14:solidFill>
          </w14:textFill>
        </w:rPr>
        <w:t>附件：1.财政支持“工业强市、产业兴市”三年攻坚突破行动重点任务分解表</w:t>
      </w:r>
    </w:p>
    <w:p>
      <w:pPr>
        <w:ind w:left="1824" w:leftChars="475" w:hanging="304" w:hangingChars="100"/>
        <w:rPr>
          <w:rFonts w:hint="default" w:ascii="仿宋_GB2312" w:hAnsi="仿宋_GB2312" w:eastAsia="仿宋_GB2312" w:cs="仿宋_GB2312"/>
          <w:color w:val="000000" w:themeColor="text1"/>
          <w:spacing w:val="-8"/>
          <w:szCs w:val="32"/>
          <w:lang w:val="en-US" w:eastAsia="zh-CN"/>
          <w14:textFill>
            <w14:solidFill>
              <w14:schemeClr w14:val="tx1"/>
            </w14:solidFill>
          </w14:textFill>
        </w:rPr>
      </w:pPr>
      <w:r>
        <w:rPr>
          <w:rFonts w:hint="eastAsia" w:ascii="仿宋_GB2312" w:hAnsi="仿宋_GB2312" w:cs="仿宋_GB2312"/>
          <w:color w:val="000000" w:themeColor="text1"/>
          <w:spacing w:val="-8"/>
          <w:szCs w:val="32"/>
          <w14:textFill>
            <w14:solidFill>
              <w14:schemeClr w14:val="tx1"/>
            </w14:solidFill>
          </w14:textFill>
        </w:rPr>
        <w:t>2.财政支持“双十镇”高质量发展及“山水林田大会战” 重点任务分解表</w:t>
      </w:r>
      <w:r>
        <w:rPr>
          <w:rFonts w:hint="eastAsia" w:ascii="仿宋_GB2312" w:hAnsi="仿宋_GB2312" w:cs="仿宋_GB2312"/>
          <w:color w:val="000000" w:themeColor="text1"/>
          <w:spacing w:val="-8"/>
          <w:szCs w:val="32"/>
          <w14:textFill>
            <w14:solidFill>
              <w14:schemeClr w14:val="tx1"/>
            </w14:solidFill>
          </w14:textFill>
        </w:rPr>
        <w:br w:type="textWrapping"/>
      </w:r>
      <w:r>
        <w:rPr>
          <w:rFonts w:hint="eastAsia" w:ascii="仿宋_GB2312" w:hAnsi="仿宋_GB2312" w:cs="仿宋_GB2312"/>
          <w:color w:val="000000" w:themeColor="text1"/>
          <w:spacing w:val="-8"/>
          <w:szCs w:val="32"/>
          <w:lang w:val="en-US" w:eastAsia="zh-CN"/>
          <w14:textFill>
            <w14:solidFill>
              <w14:schemeClr w14:val="tx1"/>
            </w14:solidFill>
          </w14:textFill>
        </w:rPr>
        <w:t xml:space="preserve">3.财政支持“工业强区、产业兴区”三年攻坚突破行动、“双十镇”高质量发展和“山水林田大会战”工作专班成员名单 </w:t>
      </w:r>
    </w:p>
    <w:p>
      <w:pPr>
        <w:ind w:left="1828" w:leftChars="475" w:hanging="308" w:hangingChars="100"/>
        <w:rPr>
          <w:rFonts w:ascii="仿宋_GB2312" w:hAnsi="仿宋_GB2312" w:cs="仿宋_GB2312"/>
          <w:color w:val="000000" w:themeColor="text1"/>
          <w:spacing w:val="-6"/>
          <w:szCs w:val="32"/>
          <w14:textFill>
            <w14:solidFill>
              <w14:schemeClr w14:val="tx1"/>
            </w14:solidFill>
          </w14:textFill>
        </w:rPr>
      </w:pPr>
      <w:r>
        <w:rPr>
          <w:rFonts w:hint="eastAsia" w:ascii="仿宋_GB2312" w:hAnsi="仿宋_GB2312" w:cs="仿宋_GB2312"/>
          <w:color w:val="000000" w:themeColor="text1"/>
          <w:spacing w:val="-6"/>
          <w:szCs w:val="32"/>
          <w14:textFill>
            <w14:solidFill>
              <w14:schemeClr w14:val="tx1"/>
            </w14:solidFill>
          </w14:textFill>
        </w:rPr>
        <w:t xml:space="preserve"> </w:t>
      </w:r>
    </w:p>
    <w:p>
      <w:pPr>
        <w:ind w:firstLine="0" w:firstLineChars="0"/>
        <w:jc w:val="left"/>
        <w:rPr>
          <w:color w:val="000000" w:themeColor="text1"/>
          <w:spacing w:val="-6"/>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2041" w:right="1588" w:bottom="1701" w:left="1588" w:header="851" w:footer="992" w:gutter="0"/>
          <w:cols w:space="425" w:num="1"/>
          <w:docGrid w:type="lines" w:linePitch="435" w:charSpace="0"/>
        </w:sectPr>
      </w:pPr>
    </w:p>
    <w:p>
      <w:pPr>
        <w:ind w:firstLine="0" w:firstLineChars="0"/>
        <w:rPr>
          <w:rFonts w:ascii="黑体" w:hAnsi="黑体" w:eastAsia="黑体" w:cs="黑体"/>
          <w:color w:val="000000" w:themeColor="text1"/>
          <w:spacing w:val="-8"/>
          <w:kern w:val="0"/>
          <w:sz w:val="36"/>
          <w:szCs w:val="36"/>
          <w14:textFill>
            <w14:solidFill>
              <w14:schemeClr w14:val="tx1"/>
            </w14:solidFill>
          </w14:textFill>
        </w:rPr>
      </w:pPr>
      <w:r>
        <w:rPr>
          <w:rFonts w:hint="eastAsia" w:ascii="黑体" w:hAnsi="黑体" w:eastAsia="黑体" w:cs="黑体"/>
          <w:color w:val="000000" w:themeColor="text1"/>
          <w:spacing w:val="-8"/>
          <w:kern w:val="0"/>
          <w:sz w:val="36"/>
          <w:szCs w:val="36"/>
          <w14:textFill>
            <w14:solidFill>
              <w14:schemeClr w14:val="tx1"/>
            </w14:solidFill>
          </w14:textFill>
        </w:rPr>
        <w:t>附件1</w:t>
      </w:r>
    </w:p>
    <w:p>
      <w:pPr>
        <w:pStyle w:val="2"/>
        <w:ind w:left="640" w:firstLine="388"/>
        <w:rPr>
          <w:color w:val="000000" w:themeColor="text1"/>
          <w:spacing w:val="-8"/>
          <w14:textFill>
            <w14:solidFill>
              <w14:schemeClr w14:val="tx1"/>
            </w14:solidFill>
          </w14:textFill>
        </w:rPr>
      </w:pPr>
    </w:p>
    <w:p>
      <w:pPr>
        <w:pStyle w:val="2"/>
        <w:ind w:left="0" w:leftChars="0" w:firstLine="0" w:firstLineChars="0"/>
        <w:jc w:val="center"/>
        <w:rPr>
          <w:rFonts w:ascii="楷体_GB2312" w:hAnsi="楷体_GB2312" w:eastAsia="楷体_GB2312" w:cs="楷体_GB2312"/>
          <w:color w:val="000000" w:themeColor="text1"/>
          <w:spacing w:val="-8"/>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pacing w:val="-8"/>
          <w:kern w:val="0"/>
          <w:sz w:val="44"/>
          <w:szCs w:val="44"/>
          <w14:textFill>
            <w14:solidFill>
              <w14:schemeClr w14:val="tx1"/>
            </w14:solidFill>
          </w14:textFill>
        </w:rPr>
        <w:t>财政支持“工业强市、产业兴市”三年攻坚突破行动重点任务分解表</w:t>
      </w:r>
    </w:p>
    <w:p>
      <w:pPr>
        <w:spacing w:line="220" w:lineRule="exact"/>
        <w:ind w:firstLine="0" w:firstLineChars="0"/>
        <w:jc w:val="left"/>
        <w:rPr>
          <w:rFonts w:ascii="仿宋_GB2312" w:hAnsi="Tahoma" w:cs="Times New Roman"/>
          <w:color w:val="000000" w:themeColor="text1"/>
          <w:spacing w:val="-8"/>
          <w:kern w:val="0"/>
          <w:sz w:val="21"/>
          <w:szCs w:val="21"/>
          <w14:textFill>
            <w14:solidFill>
              <w14:schemeClr w14:val="tx1"/>
            </w14:solidFill>
          </w14:textFill>
        </w:rPr>
      </w:pPr>
    </w:p>
    <w:tbl>
      <w:tblPr>
        <w:tblStyle w:val="8"/>
        <w:tblW w:w="44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576"/>
        <w:gridCol w:w="1589"/>
        <w:gridCol w:w="1067"/>
        <w:gridCol w:w="1634"/>
        <w:gridCol w:w="5125"/>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45" w:hRule="atLeast"/>
          <w:jc w:val="center"/>
        </w:trPr>
        <w:tc>
          <w:tcPr>
            <w:tcW w:w="233" w:type="pct"/>
            <w:vAlign w:val="center"/>
          </w:tcPr>
          <w:p>
            <w:pPr>
              <w:tabs>
                <w:tab w:val="left" w:pos="356"/>
              </w:tabs>
              <w:ind w:firstLine="0" w:firstLineChars="0"/>
              <w:jc w:val="center"/>
              <w:rPr>
                <w:rFonts w:ascii="黑体" w:hAnsi="黑体" w:eastAsia="黑体" w:cs="黑体"/>
                <w:color w:val="000000" w:themeColor="text1"/>
                <w:spacing w:val="-8"/>
                <w14:textFill>
                  <w14:solidFill>
                    <w14:schemeClr w14:val="tx1"/>
                  </w14:solidFill>
                </w14:textFill>
              </w:rPr>
            </w:pPr>
            <w:r>
              <w:rPr>
                <w:rFonts w:hint="eastAsia" w:ascii="黑体" w:hAnsi="黑体" w:eastAsia="黑体" w:cs="黑体"/>
                <w:color w:val="000000" w:themeColor="text1"/>
                <w:spacing w:val="-8"/>
                <w14:textFill>
                  <w14:solidFill>
                    <w14:schemeClr w14:val="tx1"/>
                  </w14:solidFill>
                </w14:textFill>
              </w:rPr>
              <w:t>序号</w:t>
            </w:r>
          </w:p>
        </w:tc>
        <w:tc>
          <w:tcPr>
            <w:tcW w:w="639" w:type="pct"/>
            <w:vAlign w:val="center"/>
          </w:tcPr>
          <w:p>
            <w:pPr>
              <w:tabs>
                <w:tab w:val="left" w:pos="356"/>
              </w:tabs>
              <w:ind w:firstLine="0" w:firstLineChars="0"/>
              <w:jc w:val="center"/>
              <w:rPr>
                <w:rFonts w:ascii="黑体" w:hAnsi="黑体" w:eastAsia="黑体" w:cs="黑体"/>
                <w:color w:val="000000" w:themeColor="text1"/>
                <w:spacing w:val="-8"/>
                <w14:textFill>
                  <w14:solidFill>
                    <w14:schemeClr w14:val="tx1"/>
                  </w14:solidFill>
                </w14:textFill>
              </w:rPr>
            </w:pPr>
            <w:r>
              <w:rPr>
                <w:rFonts w:hint="eastAsia" w:ascii="黑体" w:hAnsi="黑体" w:eastAsia="黑体" w:cs="黑体"/>
                <w:color w:val="000000" w:themeColor="text1"/>
                <w:spacing w:val="-8"/>
                <w14:textFill>
                  <w14:solidFill>
                    <w14:schemeClr w14:val="tx1"/>
                  </w14:solidFill>
                </w14:textFill>
              </w:rPr>
              <w:t>重点任务</w:t>
            </w:r>
          </w:p>
        </w:tc>
        <w:tc>
          <w:tcPr>
            <w:tcW w:w="430" w:type="pct"/>
            <w:vAlign w:val="center"/>
          </w:tcPr>
          <w:p>
            <w:pPr>
              <w:tabs>
                <w:tab w:val="left" w:pos="356"/>
              </w:tabs>
              <w:ind w:firstLine="0" w:firstLineChars="0"/>
              <w:jc w:val="center"/>
              <w:rPr>
                <w:rFonts w:ascii="黑体" w:hAnsi="黑体" w:eastAsia="黑体" w:cs="黑体"/>
                <w:color w:val="000000" w:themeColor="text1"/>
                <w:spacing w:val="-8"/>
                <w14:textFill>
                  <w14:solidFill>
                    <w14:schemeClr w14:val="tx1"/>
                  </w14:solidFill>
                </w14:textFill>
              </w:rPr>
            </w:pPr>
            <w:r>
              <w:rPr>
                <w:rFonts w:hint="eastAsia" w:ascii="黑体" w:hAnsi="黑体" w:eastAsia="黑体" w:cs="黑体"/>
                <w:color w:val="000000" w:themeColor="text1"/>
                <w:spacing w:val="-8"/>
                <w14:textFill>
                  <w14:solidFill>
                    <w14:schemeClr w14:val="tx1"/>
                  </w14:solidFill>
                </w14:textFill>
              </w:rPr>
              <w:t>牵头领导</w:t>
            </w:r>
          </w:p>
        </w:tc>
        <w:tc>
          <w:tcPr>
            <w:tcW w:w="657" w:type="pct"/>
            <w:vAlign w:val="center"/>
          </w:tcPr>
          <w:p>
            <w:pPr>
              <w:tabs>
                <w:tab w:val="left" w:pos="356"/>
              </w:tabs>
              <w:ind w:firstLine="0" w:firstLineChars="0"/>
              <w:jc w:val="center"/>
              <w:rPr>
                <w:rFonts w:ascii="黑体" w:hAnsi="黑体" w:eastAsia="黑体" w:cs="黑体"/>
                <w:color w:val="000000" w:themeColor="text1"/>
                <w:spacing w:val="-8"/>
                <w14:textFill>
                  <w14:solidFill>
                    <w14:schemeClr w14:val="tx1"/>
                  </w14:solidFill>
                </w14:textFill>
              </w:rPr>
            </w:pPr>
            <w:r>
              <w:rPr>
                <w:rFonts w:hint="eastAsia" w:ascii="黑体" w:hAnsi="黑体" w:eastAsia="黑体" w:cs="黑体"/>
                <w:color w:val="000000" w:themeColor="text1"/>
                <w:spacing w:val="-8"/>
                <w14:textFill>
                  <w14:solidFill>
                    <w14:schemeClr w14:val="tx1"/>
                  </w14:solidFill>
                </w14:textFill>
              </w:rPr>
              <w:t>责任单位</w:t>
            </w:r>
          </w:p>
        </w:tc>
        <w:tc>
          <w:tcPr>
            <w:tcW w:w="2063" w:type="pct"/>
            <w:vAlign w:val="center"/>
          </w:tcPr>
          <w:p>
            <w:pPr>
              <w:tabs>
                <w:tab w:val="left" w:pos="356"/>
              </w:tabs>
              <w:ind w:firstLine="0" w:firstLineChars="0"/>
              <w:jc w:val="center"/>
              <w:rPr>
                <w:rFonts w:ascii="黑体" w:hAnsi="黑体" w:eastAsia="黑体" w:cs="黑体"/>
                <w:color w:val="000000" w:themeColor="text1"/>
                <w:spacing w:val="-8"/>
                <w14:textFill>
                  <w14:solidFill>
                    <w14:schemeClr w14:val="tx1"/>
                  </w14:solidFill>
                </w14:textFill>
              </w:rPr>
            </w:pPr>
            <w:r>
              <w:rPr>
                <w:rFonts w:hint="eastAsia" w:ascii="黑体" w:hAnsi="黑体" w:eastAsia="黑体" w:cs="黑体"/>
                <w:color w:val="000000" w:themeColor="text1"/>
                <w:spacing w:val="-8"/>
                <w14:textFill>
                  <w14:solidFill>
                    <w14:schemeClr w14:val="tx1"/>
                  </w14:solidFill>
                </w14:textFill>
              </w:rPr>
              <w:t>落实措施</w:t>
            </w:r>
          </w:p>
        </w:tc>
        <w:tc>
          <w:tcPr>
            <w:tcW w:w="974" w:type="pct"/>
            <w:vAlign w:val="center"/>
          </w:tcPr>
          <w:p>
            <w:pPr>
              <w:tabs>
                <w:tab w:val="left" w:pos="356"/>
              </w:tabs>
              <w:ind w:firstLine="0" w:firstLineChars="0"/>
              <w:jc w:val="center"/>
              <w:rPr>
                <w:rFonts w:ascii="黑体" w:hAnsi="黑体" w:eastAsia="黑体" w:cs="黑体"/>
                <w:color w:val="000000" w:themeColor="text1"/>
                <w:spacing w:val="-8"/>
                <w14:textFill>
                  <w14:solidFill>
                    <w14:schemeClr w14:val="tx1"/>
                  </w14:solidFill>
                </w14:textFill>
              </w:rPr>
            </w:pPr>
            <w:r>
              <w:rPr>
                <w:rFonts w:hint="eastAsia" w:ascii="黑体" w:hAnsi="黑体" w:eastAsia="黑体" w:cs="黑体"/>
                <w:color w:val="000000" w:themeColor="text1"/>
                <w:spacing w:val="-8"/>
                <w14:textFill>
                  <w14:solidFill>
                    <w14:schemeClr w14:val="tx1"/>
                  </w14:solidFill>
                </w14:textFill>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737" w:hRule="atLeast"/>
          <w:jc w:val="center"/>
        </w:trPr>
        <w:tc>
          <w:tcPr>
            <w:tcW w:w="233"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1</w:t>
            </w:r>
          </w:p>
        </w:tc>
        <w:tc>
          <w:tcPr>
            <w:tcW w:w="639"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加大预算资金投入</w:t>
            </w:r>
          </w:p>
        </w:tc>
        <w:tc>
          <w:tcPr>
            <w:tcW w:w="430"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张学来</w:t>
            </w:r>
          </w:p>
        </w:tc>
        <w:tc>
          <w:tcPr>
            <w:tcW w:w="657"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工业贸易股教科文股</w:t>
            </w:r>
          </w:p>
        </w:tc>
        <w:tc>
          <w:tcPr>
            <w:tcW w:w="2063"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按照轻重缓急合理安排预算，重点加大对“工业强区、产业兴区”三年攻坚突破行动的支持力度。统筹工业经济高质量发展、人才专项、科技创新发展资金等专项资金，兑现“工业强区、产业兴区”三年攻坚突破行动的涉企奖补政策。探索建立企业科技投入递增奖励机制，围绕“7+3”现代产业开展“揭榜攻关”，不断提高产业竞争力。</w:t>
            </w:r>
          </w:p>
        </w:tc>
        <w:tc>
          <w:tcPr>
            <w:tcW w:w="974"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585" w:hRule="atLeast"/>
          <w:jc w:val="center"/>
        </w:trPr>
        <w:tc>
          <w:tcPr>
            <w:tcW w:w="233"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2</w:t>
            </w:r>
          </w:p>
        </w:tc>
        <w:tc>
          <w:tcPr>
            <w:tcW w:w="639"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全力争取上级扶持</w:t>
            </w:r>
          </w:p>
        </w:tc>
        <w:tc>
          <w:tcPr>
            <w:tcW w:w="430"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王冠</w:t>
            </w:r>
          </w:p>
        </w:tc>
        <w:tc>
          <w:tcPr>
            <w:tcW w:w="657" w:type="pct"/>
            <w:vAlign w:val="center"/>
          </w:tcPr>
          <w:p>
            <w:pPr>
              <w:tabs>
                <w:tab w:val="left" w:pos="356"/>
              </w:tabs>
              <w:spacing w:line="400" w:lineRule="exact"/>
              <w:ind w:firstLine="0" w:firstLineChars="0"/>
              <w:jc w:val="center"/>
              <w:rPr>
                <w:rFonts w:hint="eastAsia"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预算股</w:t>
            </w:r>
          </w:p>
          <w:p>
            <w:pPr>
              <w:tabs>
                <w:tab w:val="left" w:pos="356"/>
              </w:tabs>
              <w:spacing w:line="400" w:lineRule="exact"/>
              <w:ind w:firstLine="0" w:firstLineChars="0"/>
              <w:jc w:val="center"/>
              <w:rPr>
                <w:rFonts w:hint="eastAsia" w:ascii="仿宋_GB2312"/>
                <w:color w:val="000000" w:themeColor="text1"/>
                <w:spacing w:val="-8"/>
                <w:sz w:val="28"/>
                <w:szCs w:val="28"/>
                <w:lang w:val="en-US" w:eastAsia="zh-CN"/>
                <w14:textFill>
                  <w14:solidFill>
                    <w14:schemeClr w14:val="tx1"/>
                  </w14:solidFill>
                </w14:textFill>
              </w:rPr>
            </w:pPr>
            <w:r>
              <w:rPr>
                <w:rFonts w:hint="eastAsia" w:ascii="仿宋_GB2312"/>
                <w:color w:val="000000" w:themeColor="text1"/>
                <w:spacing w:val="-8"/>
                <w:sz w:val="28"/>
                <w:szCs w:val="28"/>
                <w:lang w:val="en-US" w:eastAsia="zh-CN"/>
                <w14:textFill>
                  <w14:solidFill>
                    <w14:schemeClr w14:val="tx1"/>
                  </w14:solidFill>
                </w14:textFill>
              </w:rPr>
              <w:t>债务办</w:t>
            </w:r>
          </w:p>
          <w:p>
            <w:pPr>
              <w:tabs>
                <w:tab w:val="left" w:pos="356"/>
              </w:tabs>
              <w:spacing w:line="400" w:lineRule="exact"/>
              <w:ind w:firstLine="0" w:firstLineChars="0"/>
              <w:jc w:val="center"/>
              <w:rPr>
                <w:rFonts w:hint="default" w:eastAsia="仿宋_GB2312"/>
                <w:lang w:val="en-US" w:eastAsia="zh-CN"/>
              </w:rPr>
            </w:pPr>
            <w:r>
              <w:rPr>
                <w:rFonts w:hint="eastAsia" w:ascii="仿宋_GB2312"/>
                <w:color w:val="000000" w:themeColor="text1"/>
                <w:spacing w:val="-8"/>
                <w:sz w:val="28"/>
                <w:szCs w:val="28"/>
                <w:lang w:val="en-US" w:eastAsia="zh-CN"/>
                <w14:textFill>
                  <w14:solidFill>
                    <w14:schemeClr w14:val="tx1"/>
                  </w14:solidFill>
                </w14:textFill>
              </w:rPr>
              <w:t>工业贸易股</w:t>
            </w:r>
          </w:p>
        </w:tc>
        <w:tc>
          <w:tcPr>
            <w:tcW w:w="2063"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围绕国家和省市重大规划布局、专项债项目，加大项目研究论证、策划包装力度，力争更多的项目纳入国家和省、市“大盘子”。聚焦“7+3”现代产业体系和“521”企业培壮行动计划，优先推荐符合条件工业企业争取市级以上扶持工业企业发展政策资金。认真落实省促进“六稳”“六保”高质量发展政策清单和促进经济高质量发展的一系列政策措施，主动对接，积极汇报，努力争取上级转移支付资金和债券额度，增加资金有效供给。</w:t>
            </w:r>
          </w:p>
        </w:tc>
        <w:tc>
          <w:tcPr>
            <w:tcW w:w="974" w:type="pct"/>
            <w:vAlign w:val="center"/>
          </w:tcPr>
          <w:p>
            <w:pPr>
              <w:tabs>
                <w:tab w:val="left" w:pos="356"/>
              </w:tabs>
              <w:spacing w:line="400" w:lineRule="exact"/>
              <w:ind w:firstLine="0" w:firstLineChars="0"/>
              <w:jc w:val="center"/>
              <w:rPr>
                <w:rFonts w:ascii="仿宋_GB2312"/>
                <w:color w:val="000000" w:themeColor="text1"/>
                <w:spacing w:val="-8"/>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737" w:hRule="atLeast"/>
          <w:jc w:val="center"/>
        </w:trPr>
        <w:tc>
          <w:tcPr>
            <w:tcW w:w="233"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3</w:t>
            </w:r>
          </w:p>
        </w:tc>
        <w:tc>
          <w:tcPr>
            <w:tcW w:w="639"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发挥产业基金引导作用</w:t>
            </w:r>
          </w:p>
        </w:tc>
        <w:tc>
          <w:tcPr>
            <w:tcW w:w="430"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张学来</w:t>
            </w:r>
          </w:p>
        </w:tc>
        <w:tc>
          <w:tcPr>
            <w:tcW w:w="657"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工业贸易股弘道财金</w:t>
            </w:r>
          </w:p>
        </w:tc>
        <w:tc>
          <w:tcPr>
            <w:tcW w:w="2063"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扩大应急转贷基金规模，积极化解中小企业资金周转难题，降低企业融资成本。发挥政府基金政策引领、企业孵化和产业扶持作用，对高成长性企业进行股权投资，推进“双招双引”项目落地实施，积极培育企业发展壮大。</w:t>
            </w:r>
          </w:p>
        </w:tc>
        <w:tc>
          <w:tcPr>
            <w:tcW w:w="974"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790" w:hRule="atLeast"/>
          <w:jc w:val="center"/>
        </w:trPr>
        <w:tc>
          <w:tcPr>
            <w:tcW w:w="233"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4</w:t>
            </w:r>
          </w:p>
        </w:tc>
        <w:tc>
          <w:tcPr>
            <w:tcW w:w="639"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深化财政资金股权投资改革</w:t>
            </w:r>
          </w:p>
        </w:tc>
        <w:tc>
          <w:tcPr>
            <w:tcW w:w="430"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张学来</w:t>
            </w:r>
          </w:p>
        </w:tc>
        <w:tc>
          <w:tcPr>
            <w:tcW w:w="657"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工业贸易股</w:t>
            </w:r>
          </w:p>
        </w:tc>
        <w:tc>
          <w:tcPr>
            <w:tcW w:w="2063"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统筹整合支持经济社会发展、产业转型升级、企业奖补等专项财政资金，安排一定比例用于实施股权投资，通过阶段性持股、适时退出的方式，实现财政资金的滚动支持、循环利用，提高财政资金使用效率。</w:t>
            </w:r>
          </w:p>
        </w:tc>
        <w:tc>
          <w:tcPr>
            <w:tcW w:w="974"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095" w:hRule="atLeast"/>
          <w:jc w:val="center"/>
        </w:trPr>
        <w:tc>
          <w:tcPr>
            <w:tcW w:w="233"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5</w:t>
            </w:r>
          </w:p>
        </w:tc>
        <w:tc>
          <w:tcPr>
            <w:tcW w:w="639"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支持国有企业做大做强</w:t>
            </w:r>
          </w:p>
        </w:tc>
        <w:tc>
          <w:tcPr>
            <w:tcW w:w="430"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张学来</w:t>
            </w:r>
          </w:p>
        </w:tc>
        <w:tc>
          <w:tcPr>
            <w:tcW w:w="657"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工业贸易股</w:t>
            </w:r>
          </w:p>
        </w:tc>
        <w:tc>
          <w:tcPr>
            <w:tcW w:w="2063"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推动国有企业聚焦主责主业，围绕构建“7+3”现代产业体系，不断增资扩股、技改升级，发挥顶梁柱作用。引导国有企业集团市场化改革，成功引入战略投资者，签订混改项目战略合作协议并付诸实施，项目符合国有资本布局结构调整和企业发展战略规划，完成混改后并按照时间节点工程如期完工、项目正常运营的，及项目投资外部优质集团成功完成股权分配的，给予适当奖励，奖补资金从新增税收的地方留成部分列支。</w:t>
            </w:r>
          </w:p>
        </w:tc>
        <w:tc>
          <w:tcPr>
            <w:tcW w:w="974"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15" w:hRule="atLeast"/>
          <w:jc w:val="center"/>
        </w:trPr>
        <w:tc>
          <w:tcPr>
            <w:tcW w:w="233"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6</w:t>
            </w:r>
          </w:p>
        </w:tc>
        <w:tc>
          <w:tcPr>
            <w:tcW w:w="639"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支持实施企业家培育工程</w:t>
            </w:r>
          </w:p>
        </w:tc>
        <w:tc>
          <w:tcPr>
            <w:tcW w:w="430"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张学来</w:t>
            </w:r>
          </w:p>
        </w:tc>
        <w:tc>
          <w:tcPr>
            <w:tcW w:w="657" w:type="pct"/>
            <w:vAlign w:val="center"/>
          </w:tcPr>
          <w:p>
            <w:pPr>
              <w:tabs>
                <w:tab w:val="left" w:pos="356"/>
              </w:tabs>
              <w:spacing w:line="400" w:lineRule="exact"/>
              <w:ind w:firstLine="0" w:firstLineChars="0"/>
              <w:jc w:val="center"/>
              <w:rPr>
                <w:color w:val="000000" w:themeColor="text1"/>
                <w:spacing w:val="-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工业贸易股</w:t>
            </w:r>
          </w:p>
        </w:tc>
        <w:tc>
          <w:tcPr>
            <w:tcW w:w="2063"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由区财政列支专项经费，每年组织2次国内高端培训，优先推荐能力强、可塑性好的优秀青年企业家到省级以上培训机构和世界知名企业总部考察学习，帮助广大企业家增强发展意识、提高发展境界、增强发展本领，大力培树和弘扬广大企业家敢为人先的创新精神、精益求精的工匠精神、诚信尽责的担当精神。</w:t>
            </w:r>
          </w:p>
        </w:tc>
        <w:tc>
          <w:tcPr>
            <w:tcW w:w="974"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260" w:hRule="atLeast"/>
          <w:jc w:val="center"/>
        </w:trPr>
        <w:tc>
          <w:tcPr>
            <w:tcW w:w="233"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7</w:t>
            </w:r>
          </w:p>
        </w:tc>
        <w:tc>
          <w:tcPr>
            <w:tcW w:w="639"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发挥政府采购支持经济发展的作用</w:t>
            </w:r>
          </w:p>
        </w:tc>
        <w:tc>
          <w:tcPr>
            <w:tcW w:w="430"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王辉</w:t>
            </w:r>
          </w:p>
        </w:tc>
        <w:tc>
          <w:tcPr>
            <w:tcW w:w="657"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财政事务中心</w:t>
            </w:r>
          </w:p>
        </w:tc>
        <w:tc>
          <w:tcPr>
            <w:tcW w:w="2063"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赋予采购人使用财政性资金进行政府采购时自主选择招标代理机构。消除在招投标过程中对不同所有制企业设置的各类不合理限制和壁垒，让更多中小微企业充分参与合法竞争。实施智能化交易系统建设，推进全流程电子化交易，提升交易服务效能。采购人、采购代理机构不得收取投标保证金，不得变通或变相收取其他没有法律依据的任何费用，降低投标企业制度性交易成本，发挥政府采购支持经济发展作用。</w:t>
            </w:r>
          </w:p>
        </w:tc>
        <w:tc>
          <w:tcPr>
            <w:tcW w:w="974"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737" w:hRule="atLeast"/>
          <w:jc w:val="center"/>
        </w:trPr>
        <w:tc>
          <w:tcPr>
            <w:tcW w:w="233"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8</w:t>
            </w:r>
          </w:p>
        </w:tc>
        <w:tc>
          <w:tcPr>
            <w:tcW w:w="639"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提高政府财政运行综合绩效</w:t>
            </w:r>
          </w:p>
        </w:tc>
        <w:tc>
          <w:tcPr>
            <w:tcW w:w="430"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王辉</w:t>
            </w:r>
          </w:p>
        </w:tc>
        <w:tc>
          <w:tcPr>
            <w:tcW w:w="657" w:type="pct"/>
            <w:vAlign w:val="center"/>
          </w:tcPr>
          <w:p>
            <w:pPr>
              <w:widowControl/>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预算绩效评价中心</w:t>
            </w:r>
          </w:p>
        </w:tc>
        <w:tc>
          <w:tcPr>
            <w:tcW w:w="2063"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ascii="仿宋_GB2312"/>
                <w:color w:val="000000" w:themeColor="text1"/>
                <w:spacing w:val="-8"/>
                <w:sz w:val="28"/>
                <w:szCs w:val="28"/>
                <w14:textFill>
                  <w14:solidFill>
                    <w14:schemeClr w14:val="tx1"/>
                  </w14:solidFill>
                </w14:textFill>
              </w:rPr>
              <w:t>健全以绩效为导向的分配体系。开展重点政策和项目全周期跟踪问效试点，对支持“工业强区、产业兴区”各项资金使用情况进行全方位、全过程、全覆盖的预算绩效管理，将绩效管理结果与预算安排、政策调整和资金支出挂起钩来，推动资金落实、优化政策体系，提高财政资源配置的实效性、科学性、合理性，做到花钱必问效、无效必问责。</w:t>
            </w:r>
          </w:p>
        </w:tc>
        <w:tc>
          <w:tcPr>
            <w:tcW w:w="974"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p>
        </w:tc>
      </w:tr>
    </w:tbl>
    <w:p>
      <w:pPr>
        <w:ind w:firstLine="608"/>
        <w:rPr>
          <w:color w:val="000000" w:themeColor="text1"/>
          <w:spacing w:val="-8"/>
          <w14:textFill>
            <w14:solidFill>
              <w14:schemeClr w14:val="tx1"/>
            </w14:solidFill>
          </w14:textFill>
        </w:rPr>
      </w:pPr>
    </w:p>
    <w:p>
      <w:pPr>
        <w:pStyle w:val="2"/>
        <w:ind w:left="640" w:firstLine="388"/>
        <w:rPr>
          <w:color w:val="000000" w:themeColor="text1"/>
          <w:spacing w:val="-8"/>
          <w14:textFill>
            <w14:solidFill>
              <w14:schemeClr w14:val="tx1"/>
            </w14:solidFill>
          </w14:textFill>
        </w:rPr>
      </w:pPr>
    </w:p>
    <w:p>
      <w:pPr>
        <w:pStyle w:val="2"/>
        <w:ind w:left="640" w:firstLine="388"/>
        <w:rPr>
          <w:color w:val="000000" w:themeColor="text1"/>
          <w:spacing w:val="-8"/>
          <w14:textFill>
            <w14:solidFill>
              <w14:schemeClr w14:val="tx1"/>
            </w14:solidFill>
          </w14:textFill>
        </w:rPr>
      </w:pPr>
    </w:p>
    <w:p>
      <w:pPr>
        <w:pStyle w:val="2"/>
        <w:ind w:left="640" w:firstLine="388"/>
        <w:rPr>
          <w:color w:val="000000" w:themeColor="text1"/>
          <w:spacing w:val="-8"/>
          <w14:textFill>
            <w14:solidFill>
              <w14:schemeClr w14:val="tx1"/>
            </w14:solidFill>
          </w14:textFill>
        </w:rPr>
      </w:pPr>
    </w:p>
    <w:p>
      <w:pPr>
        <w:pStyle w:val="2"/>
        <w:ind w:left="640" w:firstLine="388"/>
        <w:rPr>
          <w:color w:val="000000" w:themeColor="text1"/>
          <w:spacing w:val="-8"/>
          <w14:textFill>
            <w14:solidFill>
              <w14:schemeClr w14:val="tx1"/>
            </w14:solidFill>
          </w14:textFill>
        </w:rPr>
      </w:pPr>
    </w:p>
    <w:p>
      <w:pPr>
        <w:pStyle w:val="2"/>
        <w:ind w:left="640" w:firstLine="388"/>
        <w:rPr>
          <w:color w:val="000000" w:themeColor="text1"/>
          <w:spacing w:val="-8"/>
          <w14:textFill>
            <w14:solidFill>
              <w14:schemeClr w14:val="tx1"/>
            </w14:solidFill>
          </w14:textFill>
        </w:rPr>
      </w:pPr>
    </w:p>
    <w:p>
      <w:pPr>
        <w:pStyle w:val="2"/>
        <w:ind w:left="640" w:firstLine="388"/>
        <w:rPr>
          <w:color w:val="000000" w:themeColor="text1"/>
          <w:spacing w:val="-8"/>
          <w14:textFill>
            <w14:solidFill>
              <w14:schemeClr w14:val="tx1"/>
            </w14:solidFill>
          </w14:textFill>
        </w:rPr>
      </w:pPr>
    </w:p>
    <w:p>
      <w:pPr>
        <w:pStyle w:val="2"/>
        <w:ind w:left="640" w:firstLine="388"/>
        <w:rPr>
          <w:color w:val="000000" w:themeColor="text1"/>
          <w:spacing w:val="-8"/>
          <w14:textFill>
            <w14:solidFill>
              <w14:schemeClr w14:val="tx1"/>
            </w14:solidFill>
          </w14:textFill>
        </w:rPr>
      </w:pPr>
    </w:p>
    <w:p>
      <w:pPr>
        <w:pStyle w:val="2"/>
        <w:ind w:left="640" w:firstLine="388"/>
        <w:rPr>
          <w:color w:val="000000" w:themeColor="text1"/>
          <w:spacing w:val="-8"/>
          <w14:textFill>
            <w14:solidFill>
              <w14:schemeClr w14:val="tx1"/>
            </w14:solidFill>
          </w14:textFill>
        </w:rPr>
      </w:pPr>
    </w:p>
    <w:p>
      <w:pPr>
        <w:pStyle w:val="2"/>
        <w:ind w:left="640" w:firstLine="388"/>
        <w:rPr>
          <w:color w:val="000000" w:themeColor="text1"/>
          <w:spacing w:val="-8"/>
          <w14:textFill>
            <w14:solidFill>
              <w14:schemeClr w14:val="tx1"/>
            </w14:solidFill>
          </w14:textFill>
        </w:rPr>
      </w:pPr>
    </w:p>
    <w:p>
      <w:pPr>
        <w:pStyle w:val="2"/>
        <w:ind w:left="640" w:firstLine="388"/>
        <w:rPr>
          <w:color w:val="000000" w:themeColor="text1"/>
          <w:spacing w:val="-8"/>
          <w14:textFill>
            <w14:solidFill>
              <w14:schemeClr w14:val="tx1"/>
            </w14:solidFill>
          </w14:textFill>
        </w:rPr>
      </w:pPr>
    </w:p>
    <w:p>
      <w:pPr>
        <w:pStyle w:val="2"/>
        <w:ind w:left="0" w:leftChars="0" w:firstLine="0" w:firstLineChars="0"/>
        <w:rPr>
          <w:color w:val="000000" w:themeColor="text1"/>
          <w:spacing w:val="-8"/>
          <w14:textFill>
            <w14:solidFill>
              <w14:schemeClr w14:val="tx1"/>
            </w14:solidFill>
          </w14:textFill>
        </w:rPr>
      </w:pPr>
    </w:p>
    <w:p>
      <w:pPr>
        <w:ind w:firstLine="0" w:firstLineChars="0"/>
        <w:rPr>
          <w:rFonts w:ascii="黑体" w:hAnsi="黑体" w:eastAsia="黑体" w:cs="黑体"/>
          <w:color w:val="000000" w:themeColor="text1"/>
          <w:spacing w:val="-8"/>
          <w:kern w:val="0"/>
          <w:sz w:val="36"/>
          <w:szCs w:val="36"/>
          <w14:textFill>
            <w14:solidFill>
              <w14:schemeClr w14:val="tx1"/>
            </w14:solidFill>
          </w14:textFill>
        </w:rPr>
      </w:pPr>
      <w:r>
        <w:rPr>
          <w:rFonts w:hint="eastAsia" w:ascii="黑体" w:hAnsi="黑体" w:eastAsia="黑体" w:cs="黑体"/>
          <w:color w:val="000000" w:themeColor="text1"/>
          <w:spacing w:val="-8"/>
          <w:kern w:val="0"/>
          <w:sz w:val="36"/>
          <w:szCs w:val="36"/>
          <w14:textFill>
            <w14:solidFill>
              <w14:schemeClr w14:val="tx1"/>
            </w14:solidFill>
          </w14:textFill>
        </w:rPr>
        <w:t>附件2</w:t>
      </w:r>
    </w:p>
    <w:p>
      <w:pPr>
        <w:pStyle w:val="2"/>
        <w:ind w:left="640" w:firstLine="388"/>
        <w:rPr>
          <w:color w:val="000000" w:themeColor="text1"/>
          <w:spacing w:val="-8"/>
          <w14:textFill>
            <w14:solidFill>
              <w14:schemeClr w14:val="tx1"/>
            </w14:solidFill>
          </w14:textFill>
        </w:rPr>
      </w:pPr>
    </w:p>
    <w:p>
      <w:pPr>
        <w:pStyle w:val="2"/>
        <w:ind w:left="0" w:leftChars="0" w:firstLine="0" w:firstLineChars="0"/>
        <w:jc w:val="center"/>
        <w:rPr>
          <w:color w:val="000000" w:themeColor="text1"/>
          <w:spacing w:val="-8"/>
          <w14:textFill>
            <w14:solidFill>
              <w14:schemeClr w14:val="tx1"/>
            </w14:solidFill>
          </w14:textFill>
        </w:rPr>
      </w:pPr>
      <w:r>
        <w:rPr>
          <w:rFonts w:hint="eastAsia" w:ascii="方正小标宋简体" w:hAnsi="方正小标宋简体" w:eastAsia="方正小标宋简体" w:cs="方正小标宋简体"/>
          <w:color w:val="000000" w:themeColor="text1"/>
          <w:spacing w:val="-8"/>
          <w:kern w:val="0"/>
          <w:sz w:val="44"/>
          <w:szCs w:val="44"/>
          <w14:textFill>
            <w14:solidFill>
              <w14:schemeClr w14:val="tx1"/>
            </w14:solidFill>
          </w14:textFill>
        </w:rPr>
        <w:t>财政支持“双十镇”高质量发展及“山水林田大会战” 重点任务分解表</w:t>
      </w:r>
    </w:p>
    <w:tbl>
      <w:tblPr>
        <w:tblStyle w:val="8"/>
        <w:tblW w:w="46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541"/>
        <w:gridCol w:w="1558"/>
        <w:gridCol w:w="1025"/>
        <w:gridCol w:w="1558"/>
        <w:gridCol w:w="5828"/>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45" w:hRule="atLeast"/>
          <w:jc w:val="center"/>
        </w:trPr>
        <w:tc>
          <w:tcPr>
            <w:tcW w:w="209" w:type="pct"/>
            <w:vAlign w:val="center"/>
          </w:tcPr>
          <w:p>
            <w:pPr>
              <w:tabs>
                <w:tab w:val="left" w:pos="356"/>
              </w:tabs>
              <w:ind w:firstLine="0" w:firstLineChars="0"/>
              <w:jc w:val="center"/>
              <w:rPr>
                <w:rFonts w:ascii="黑体" w:hAnsi="黑体" w:eastAsia="黑体" w:cs="黑体"/>
                <w:color w:val="000000" w:themeColor="text1"/>
                <w:spacing w:val="-8"/>
                <w14:textFill>
                  <w14:solidFill>
                    <w14:schemeClr w14:val="tx1"/>
                  </w14:solidFill>
                </w14:textFill>
              </w:rPr>
            </w:pPr>
            <w:r>
              <w:rPr>
                <w:rFonts w:hint="eastAsia" w:ascii="黑体" w:hAnsi="黑体" w:eastAsia="黑体" w:cs="黑体"/>
                <w:color w:val="000000" w:themeColor="text1"/>
                <w:spacing w:val="-8"/>
                <w14:textFill>
                  <w14:solidFill>
                    <w14:schemeClr w14:val="tx1"/>
                  </w14:solidFill>
                </w14:textFill>
              </w:rPr>
              <w:t>序号</w:t>
            </w:r>
          </w:p>
        </w:tc>
        <w:tc>
          <w:tcPr>
            <w:tcW w:w="602" w:type="pct"/>
            <w:vAlign w:val="center"/>
          </w:tcPr>
          <w:p>
            <w:pPr>
              <w:tabs>
                <w:tab w:val="left" w:pos="356"/>
              </w:tabs>
              <w:ind w:firstLine="0" w:firstLineChars="0"/>
              <w:jc w:val="center"/>
              <w:rPr>
                <w:rFonts w:ascii="黑体" w:hAnsi="黑体" w:eastAsia="黑体" w:cs="黑体"/>
                <w:color w:val="000000" w:themeColor="text1"/>
                <w:spacing w:val="-8"/>
                <w14:textFill>
                  <w14:solidFill>
                    <w14:schemeClr w14:val="tx1"/>
                  </w14:solidFill>
                </w14:textFill>
              </w:rPr>
            </w:pPr>
            <w:r>
              <w:rPr>
                <w:rFonts w:hint="eastAsia" w:ascii="黑体" w:hAnsi="黑体" w:eastAsia="黑体" w:cs="黑体"/>
                <w:color w:val="000000" w:themeColor="text1"/>
                <w:spacing w:val="-8"/>
                <w14:textFill>
                  <w14:solidFill>
                    <w14:schemeClr w14:val="tx1"/>
                  </w14:solidFill>
                </w14:textFill>
              </w:rPr>
              <w:t>重点任务</w:t>
            </w:r>
          </w:p>
        </w:tc>
        <w:tc>
          <w:tcPr>
            <w:tcW w:w="396" w:type="pct"/>
            <w:vAlign w:val="center"/>
          </w:tcPr>
          <w:p>
            <w:pPr>
              <w:tabs>
                <w:tab w:val="left" w:pos="356"/>
              </w:tabs>
              <w:ind w:firstLine="0" w:firstLineChars="0"/>
              <w:jc w:val="center"/>
              <w:rPr>
                <w:rFonts w:ascii="黑体" w:hAnsi="黑体" w:eastAsia="黑体" w:cs="黑体"/>
                <w:color w:val="000000" w:themeColor="text1"/>
                <w:spacing w:val="-8"/>
                <w14:textFill>
                  <w14:solidFill>
                    <w14:schemeClr w14:val="tx1"/>
                  </w14:solidFill>
                </w14:textFill>
              </w:rPr>
            </w:pPr>
            <w:r>
              <w:rPr>
                <w:rFonts w:hint="eastAsia" w:ascii="黑体" w:hAnsi="黑体" w:eastAsia="黑体" w:cs="黑体"/>
                <w:color w:val="000000" w:themeColor="text1"/>
                <w:spacing w:val="-8"/>
                <w14:textFill>
                  <w14:solidFill>
                    <w14:schemeClr w14:val="tx1"/>
                  </w14:solidFill>
                </w14:textFill>
              </w:rPr>
              <w:t>牵头领导</w:t>
            </w:r>
          </w:p>
        </w:tc>
        <w:tc>
          <w:tcPr>
            <w:tcW w:w="602" w:type="pct"/>
            <w:vAlign w:val="center"/>
          </w:tcPr>
          <w:p>
            <w:pPr>
              <w:tabs>
                <w:tab w:val="left" w:pos="356"/>
              </w:tabs>
              <w:ind w:firstLine="0" w:firstLineChars="0"/>
              <w:jc w:val="center"/>
              <w:rPr>
                <w:rFonts w:ascii="黑体" w:hAnsi="黑体" w:eastAsia="黑体" w:cs="黑体"/>
                <w:color w:val="000000" w:themeColor="text1"/>
                <w:spacing w:val="-8"/>
                <w14:textFill>
                  <w14:solidFill>
                    <w14:schemeClr w14:val="tx1"/>
                  </w14:solidFill>
                </w14:textFill>
              </w:rPr>
            </w:pPr>
            <w:r>
              <w:rPr>
                <w:rFonts w:hint="eastAsia" w:ascii="黑体" w:hAnsi="黑体" w:eastAsia="黑体" w:cs="黑体"/>
                <w:color w:val="000000" w:themeColor="text1"/>
                <w:spacing w:val="-8"/>
                <w14:textFill>
                  <w14:solidFill>
                    <w14:schemeClr w14:val="tx1"/>
                  </w14:solidFill>
                </w14:textFill>
              </w:rPr>
              <w:t>责任单位</w:t>
            </w:r>
          </w:p>
        </w:tc>
        <w:tc>
          <w:tcPr>
            <w:tcW w:w="2253" w:type="pct"/>
            <w:vAlign w:val="center"/>
          </w:tcPr>
          <w:p>
            <w:pPr>
              <w:tabs>
                <w:tab w:val="left" w:pos="356"/>
              </w:tabs>
              <w:ind w:firstLine="0" w:firstLineChars="0"/>
              <w:jc w:val="center"/>
              <w:rPr>
                <w:rFonts w:ascii="黑体" w:hAnsi="黑体" w:eastAsia="黑体" w:cs="黑体"/>
                <w:color w:val="000000" w:themeColor="text1"/>
                <w:spacing w:val="-8"/>
                <w14:textFill>
                  <w14:solidFill>
                    <w14:schemeClr w14:val="tx1"/>
                  </w14:solidFill>
                </w14:textFill>
              </w:rPr>
            </w:pPr>
            <w:r>
              <w:rPr>
                <w:rFonts w:hint="eastAsia" w:ascii="黑体" w:hAnsi="黑体" w:eastAsia="黑体" w:cs="黑体"/>
                <w:color w:val="000000" w:themeColor="text1"/>
                <w:spacing w:val="-8"/>
                <w14:textFill>
                  <w14:solidFill>
                    <w14:schemeClr w14:val="tx1"/>
                  </w14:solidFill>
                </w14:textFill>
              </w:rPr>
              <w:t>落实措施</w:t>
            </w:r>
          </w:p>
        </w:tc>
        <w:tc>
          <w:tcPr>
            <w:tcW w:w="935" w:type="pct"/>
            <w:vAlign w:val="center"/>
          </w:tcPr>
          <w:p>
            <w:pPr>
              <w:tabs>
                <w:tab w:val="left" w:pos="356"/>
              </w:tabs>
              <w:ind w:firstLine="0" w:firstLineChars="0"/>
              <w:jc w:val="center"/>
              <w:rPr>
                <w:rFonts w:ascii="黑体" w:hAnsi="黑体" w:eastAsia="黑体" w:cs="黑体"/>
                <w:color w:val="000000" w:themeColor="text1"/>
                <w:spacing w:val="-8"/>
                <w14:textFill>
                  <w14:solidFill>
                    <w14:schemeClr w14:val="tx1"/>
                  </w14:solidFill>
                </w14:textFill>
              </w:rPr>
            </w:pPr>
            <w:r>
              <w:rPr>
                <w:rFonts w:hint="eastAsia" w:ascii="黑体" w:hAnsi="黑体" w:eastAsia="黑体" w:cs="黑体"/>
                <w:color w:val="000000" w:themeColor="text1"/>
                <w:spacing w:val="-8"/>
                <w14:textFill>
                  <w14:solidFill>
                    <w14:schemeClr w14:val="tx1"/>
                  </w14:solidFill>
                </w14:textFill>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737" w:hRule="atLeast"/>
          <w:jc w:val="center"/>
        </w:trPr>
        <w:tc>
          <w:tcPr>
            <w:tcW w:w="209"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1</w:t>
            </w:r>
          </w:p>
        </w:tc>
        <w:tc>
          <w:tcPr>
            <w:tcW w:w="602"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调整和优化财税分配方式</w:t>
            </w:r>
          </w:p>
        </w:tc>
        <w:tc>
          <w:tcPr>
            <w:tcW w:w="396"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王冠</w:t>
            </w:r>
          </w:p>
        </w:tc>
        <w:tc>
          <w:tcPr>
            <w:tcW w:w="602" w:type="pct"/>
            <w:vAlign w:val="center"/>
          </w:tcPr>
          <w:p>
            <w:pPr>
              <w:tabs>
                <w:tab w:val="left" w:pos="356"/>
              </w:tabs>
              <w:spacing w:line="400" w:lineRule="exact"/>
              <w:ind w:firstLine="0" w:firstLineChars="0"/>
              <w:jc w:val="center"/>
              <w:rPr>
                <w:rFonts w:hint="eastAsia"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预算股</w:t>
            </w:r>
          </w:p>
          <w:p>
            <w:pPr>
              <w:tabs>
                <w:tab w:val="left" w:pos="356"/>
              </w:tabs>
              <w:spacing w:line="400" w:lineRule="exact"/>
              <w:ind w:firstLine="0" w:firstLineChars="0"/>
              <w:jc w:val="center"/>
              <w:rPr>
                <w:rFonts w:hint="eastAsia" w:eastAsia="宋体"/>
                <w:lang w:val="en-US" w:eastAsia="zh-CN"/>
              </w:rPr>
            </w:pPr>
            <w:r>
              <w:rPr>
                <w:rFonts w:hint="eastAsia" w:ascii="仿宋_GB2312"/>
                <w:color w:val="000000" w:themeColor="text1"/>
                <w:spacing w:val="-8"/>
                <w:sz w:val="28"/>
                <w:szCs w:val="28"/>
                <w:lang w:val="en-US" w:eastAsia="zh-CN"/>
                <w14:textFill>
                  <w14:solidFill>
                    <w14:schemeClr w14:val="tx1"/>
                  </w14:solidFill>
                </w14:textFill>
              </w:rPr>
              <w:t>综合股</w:t>
            </w:r>
          </w:p>
        </w:tc>
        <w:tc>
          <w:tcPr>
            <w:tcW w:w="2253"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ascii="仿宋_GB2312"/>
                <w:color w:val="000000" w:themeColor="text1"/>
                <w:spacing w:val="-8"/>
                <w:sz w:val="28"/>
                <w:szCs w:val="28"/>
                <w14:textFill>
                  <w14:solidFill>
                    <w14:schemeClr w14:val="tx1"/>
                  </w14:solidFill>
                </w14:textFill>
              </w:rPr>
              <w:t>加大对“双十镇”专项转移支付和一般性转移支付力度，在“双十镇”境内收取的土地出让金净收入，除国家和省规定有明确用途外，市级以下部分全部由“双十镇”留用。自2021年起，3年内“双十镇”新增财力全部留在本镇。</w:t>
            </w:r>
          </w:p>
        </w:tc>
        <w:tc>
          <w:tcPr>
            <w:tcW w:w="935"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737" w:hRule="atLeast"/>
          <w:jc w:val="center"/>
        </w:trPr>
        <w:tc>
          <w:tcPr>
            <w:tcW w:w="209"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2</w:t>
            </w:r>
          </w:p>
        </w:tc>
        <w:tc>
          <w:tcPr>
            <w:tcW w:w="602"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安排财政专项扶持资金</w:t>
            </w:r>
          </w:p>
        </w:tc>
        <w:tc>
          <w:tcPr>
            <w:tcW w:w="396"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张学来</w:t>
            </w:r>
          </w:p>
        </w:tc>
        <w:tc>
          <w:tcPr>
            <w:tcW w:w="602"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农业股</w:t>
            </w:r>
          </w:p>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经济建设股</w:t>
            </w:r>
          </w:p>
        </w:tc>
        <w:tc>
          <w:tcPr>
            <w:tcW w:w="2253"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从2021年起，区财政连续三年按市级专项资金1:1比例配套区级专项资金支持乡村振兴示范镇高质量发展；从2022年起，区财政连续三年按市级专项资金1:1比例配套区级专项资金对乡村振兴特色镇给予支持。</w:t>
            </w:r>
          </w:p>
        </w:tc>
        <w:tc>
          <w:tcPr>
            <w:tcW w:w="935"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737" w:hRule="atLeast"/>
          <w:jc w:val="center"/>
        </w:trPr>
        <w:tc>
          <w:tcPr>
            <w:tcW w:w="209"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3</w:t>
            </w:r>
          </w:p>
        </w:tc>
        <w:tc>
          <w:tcPr>
            <w:tcW w:w="602"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争取上级政策资金支持</w:t>
            </w:r>
          </w:p>
        </w:tc>
        <w:tc>
          <w:tcPr>
            <w:tcW w:w="396"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王冠</w:t>
            </w:r>
          </w:p>
        </w:tc>
        <w:tc>
          <w:tcPr>
            <w:tcW w:w="602" w:type="pct"/>
            <w:vAlign w:val="center"/>
          </w:tcPr>
          <w:p>
            <w:pPr>
              <w:tabs>
                <w:tab w:val="left" w:pos="356"/>
              </w:tabs>
              <w:spacing w:line="400" w:lineRule="exact"/>
              <w:ind w:firstLine="0" w:firstLineChars="0"/>
              <w:jc w:val="center"/>
              <w:rPr>
                <w:rFonts w:hint="eastAsia"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预算股</w:t>
            </w:r>
          </w:p>
          <w:p>
            <w:pPr>
              <w:tabs>
                <w:tab w:val="left" w:pos="356"/>
              </w:tabs>
              <w:spacing w:line="400" w:lineRule="exact"/>
              <w:ind w:firstLine="0" w:firstLineChars="0"/>
              <w:jc w:val="center"/>
              <w:rPr>
                <w:rFonts w:hint="eastAsia" w:ascii="仿宋_GB2312" w:eastAsia="仿宋_GB2312"/>
                <w:color w:val="000000" w:themeColor="text1"/>
                <w:spacing w:val="-8"/>
                <w:sz w:val="28"/>
                <w:szCs w:val="28"/>
                <w:lang w:val="en-US" w:eastAsia="zh-CN"/>
                <w14:textFill>
                  <w14:solidFill>
                    <w14:schemeClr w14:val="tx1"/>
                  </w14:solidFill>
                </w14:textFill>
              </w:rPr>
            </w:pPr>
            <w:r>
              <w:rPr>
                <w:rFonts w:hint="eastAsia" w:ascii="仿宋_GB2312"/>
                <w:color w:val="000000" w:themeColor="text1"/>
                <w:spacing w:val="-8"/>
                <w:sz w:val="28"/>
                <w:szCs w:val="28"/>
                <w:lang w:val="en-US" w:eastAsia="zh-CN"/>
                <w14:textFill>
                  <w14:solidFill>
                    <w14:schemeClr w14:val="tx1"/>
                  </w14:solidFill>
                </w14:textFill>
              </w:rPr>
              <w:t>债务办</w:t>
            </w:r>
          </w:p>
          <w:p>
            <w:pPr>
              <w:tabs>
                <w:tab w:val="left" w:pos="356"/>
              </w:tabs>
              <w:spacing w:line="400" w:lineRule="exact"/>
              <w:ind w:firstLine="0" w:firstLineChars="0"/>
              <w:jc w:val="center"/>
              <w:rPr>
                <w:rFonts w:hint="eastAsia"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农业股</w:t>
            </w:r>
          </w:p>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工业贸易股</w:t>
            </w:r>
          </w:p>
        </w:tc>
        <w:tc>
          <w:tcPr>
            <w:tcW w:w="2253"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优先推荐“双十镇”重点建设项目、特色优势产业项目纳入山亭区国家可持续发展试验区、枣庄可持续发展议程创新示范区支持项目，并积极为“双十镇”优质企业和特色产业集群申报各项扶持项目，争取上级政策和资金向“双十镇”倾斜。</w:t>
            </w:r>
          </w:p>
        </w:tc>
        <w:tc>
          <w:tcPr>
            <w:tcW w:w="935"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737" w:hRule="atLeast"/>
          <w:jc w:val="center"/>
        </w:trPr>
        <w:tc>
          <w:tcPr>
            <w:tcW w:w="209"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4</w:t>
            </w:r>
          </w:p>
        </w:tc>
        <w:tc>
          <w:tcPr>
            <w:tcW w:w="602"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发挥奖补资金激励作用</w:t>
            </w:r>
          </w:p>
        </w:tc>
        <w:tc>
          <w:tcPr>
            <w:tcW w:w="396"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张学来</w:t>
            </w:r>
          </w:p>
        </w:tc>
        <w:tc>
          <w:tcPr>
            <w:tcW w:w="602"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农业股</w:t>
            </w:r>
          </w:p>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经济建设股</w:t>
            </w:r>
          </w:p>
        </w:tc>
        <w:tc>
          <w:tcPr>
            <w:tcW w:w="2253"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在全区城乡环卫一体化和镇域环境综合整治奖补资金中，增加“双十镇”奖补资金。从2021年起，在安排乡村振兴、涉农资金统筹整合、“四好农村路”建设、农村环境综合整治奖补资金时，优先向“双十镇”倾斜。镇域范围内的砂石等矿产资源开发实现的税收，区级留成部分予以重点支持“双十镇”建设。根据“山水林田大会战”工程项目建设情况，对镇街进行财政资金奖补。</w:t>
            </w:r>
          </w:p>
        </w:tc>
        <w:tc>
          <w:tcPr>
            <w:tcW w:w="935"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737" w:hRule="atLeast"/>
          <w:jc w:val="center"/>
        </w:trPr>
        <w:tc>
          <w:tcPr>
            <w:tcW w:w="209"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5</w:t>
            </w:r>
          </w:p>
        </w:tc>
        <w:tc>
          <w:tcPr>
            <w:tcW w:w="602"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积极引导社会资本投入</w:t>
            </w:r>
          </w:p>
        </w:tc>
        <w:tc>
          <w:tcPr>
            <w:tcW w:w="396"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宋永春</w:t>
            </w:r>
          </w:p>
        </w:tc>
        <w:tc>
          <w:tcPr>
            <w:tcW w:w="602" w:type="pct"/>
            <w:vAlign w:val="center"/>
          </w:tcPr>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政府与社会资本合作中心（PPP）</w:t>
            </w:r>
          </w:p>
          <w:p>
            <w:pPr>
              <w:tabs>
                <w:tab w:val="left" w:pos="356"/>
              </w:tabs>
              <w:spacing w:line="400" w:lineRule="exact"/>
              <w:ind w:firstLine="0" w:firstLineChars="0"/>
              <w:jc w:val="center"/>
              <w:rPr>
                <w:rFonts w:ascii="仿宋_GB2312"/>
                <w:color w:val="000000" w:themeColor="text1"/>
                <w:spacing w:val="-8"/>
                <w:sz w:val="28"/>
                <w:szCs w:val="2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山兴集团</w:t>
            </w:r>
          </w:p>
          <w:p>
            <w:pPr>
              <w:tabs>
                <w:tab w:val="left" w:pos="356"/>
              </w:tabs>
              <w:spacing w:line="400" w:lineRule="exact"/>
              <w:ind w:firstLine="0" w:firstLineChars="0"/>
              <w:jc w:val="center"/>
              <w:rPr>
                <w:color w:val="000000" w:themeColor="text1"/>
                <w:spacing w:val="-8"/>
                <w14:textFill>
                  <w14:solidFill>
                    <w14:schemeClr w14:val="tx1"/>
                  </w14:solidFill>
                </w14:textFill>
              </w:rPr>
            </w:pPr>
            <w:r>
              <w:rPr>
                <w:rFonts w:hint="eastAsia" w:ascii="仿宋_GB2312"/>
                <w:color w:val="000000" w:themeColor="text1"/>
                <w:spacing w:val="-8"/>
                <w:sz w:val="28"/>
                <w:szCs w:val="28"/>
                <w14:textFill>
                  <w14:solidFill>
                    <w14:schemeClr w14:val="tx1"/>
                  </w14:solidFill>
                </w14:textFill>
              </w:rPr>
              <w:t>山亿集团</w:t>
            </w:r>
          </w:p>
        </w:tc>
        <w:tc>
          <w:tcPr>
            <w:tcW w:w="2253"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r>
              <w:rPr>
                <w:rFonts w:ascii="仿宋_GB2312"/>
                <w:color w:val="000000" w:themeColor="text1"/>
                <w:spacing w:val="-8"/>
                <w:sz w:val="28"/>
                <w:szCs w:val="28"/>
                <w14:textFill>
                  <w14:solidFill>
                    <w14:schemeClr w14:val="tx1"/>
                  </w14:solidFill>
                </w14:textFill>
              </w:rPr>
              <w:t>积极调动社会资本、金融资本参与，争取农发行政策性贷款资金，构建多层次、多渠道、多形式的投入机制。探索乡村振兴及山水林田治理有稳定收益的公益性项目，推广政府和社会资本合作模式的实施路径和机制，让社会资本投资可预期、有回报、能持续，依法合规、有序推进政府和社会资本合作。</w:t>
            </w:r>
          </w:p>
        </w:tc>
        <w:tc>
          <w:tcPr>
            <w:tcW w:w="935" w:type="pct"/>
            <w:vAlign w:val="center"/>
          </w:tcPr>
          <w:p>
            <w:pPr>
              <w:tabs>
                <w:tab w:val="left" w:pos="356"/>
              </w:tabs>
              <w:spacing w:line="400" w:lineRule="exact"/>
              <w:ind w:firstLine="0" w:firstLineChars="0"/>
              <w:jc w:val="left"/>
              <w:rPr>
                <w:rFonts w:ascii="仿宋_GB2312"/>
                <w:color w:val="000000" w:themeColor="text1"/>
                <w:spacing w:val="-8"/>
                <w:sz w:val="28"/>
                <w:szCs w:val="28"/>
                <w14:textFill>
                  <w14:solidFill>
                    <w14:schemeClr w14:val="tx1"/>
                  </w14:solidFill>
                </w14:textFill>
              </w:rPr>
            </w:pPr>
          </w:p>
        </w:tc>
      </w:tr>
    </w:tbl>
    <w:p>
      <w:pPr>
        <w:rPr>
          <w:color w:val="000000" w:themeColor="text1"/>
          <w:spacing w:val="-8"/>
          <w14:textFill>
            <w14:solidFill>
              <w14:schemeClr w14:val="tx1"/>
            </w14:solidFill>
          </w14:textFill>
        </w:rPr>
        <w:sectPr>
          <w:pgSz w:w="16838" w:h="11906" w:orient="landscape"/>
          <w:pgMar w:top="2041" w:right="1440" w:bottom="1701" w:left="1587" w:header="851" w:footer="992" w:gutter="0"/>
          <w:cols w:space="0" w:num="1"/>
          <w:docGrid w:type="lines" w:linePitch="436"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pacing w:val="-6"/>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eastAsia="方正小标宋简体"/>
          <w:spacing w:val="-6"/>
          <w:sz w:val="44"/>
          <w:szCs w:val="44"/>
          <w:lang w:val="en-US" w:eastAsia="zh-CN"/>
        </w:rPr>
      </w:pPr>
      <w:r>
        <w:rPr>
          <w:rFonts w:hint="eastAsia" w:ascii="方正小标宋简体" w:eastAsia="方正小标宋简体"/>
          <w:spacing w:val="-6"/>
          <w:sz w:val="44"/>
          <w:szCs w:val="44"/>
          <w:lang w:val="en-US" w:eastAsia="zh-CN"/>
        </w:rPr>
        <w:t>财政支持“工业强区 产业兴区”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eastAsia="方正小标宋简体"/>
          <w:spacing w:val="-6"/>
          <w:sz w:val="44"/>
          <w:szCs w:val="44"/>
          <w:lang w:eastAsia="zh-CN"/>
        </w:rPr>
      </w:pPr>
      <w:r>
        <w:rPr>
          <w:rFonts w:hint="eastAsia" w:ascii="方正小标宋简体" w:eastAsia="方正小标宋简体"/>
          <w:spacing w:val="-6"/>
          <w:sz w:val="44"/>
          <w:szCs w:val="44"/>
          <w:lang w:val="en-US" w:eastAsia="zh-CN"/>
        </w:rPr>
        <w:t>工作</w:t>
      </w:r>
      <w:r>
        <w:rPr>
          <w:rFonts w:hint="eastAsia" w:ascii="方正小标宋简体" w:eastAsia="方正小标宋简体"/>
          <w:spacing w:val="-6"/>
          <w:sz w:val="44"/>
          <w:szCs w:val="44"/>
        </w:rPr>
        <w:t>专班成员</w:t>
      </w:r>
      <w:r>
        <w:rPr>
          <w:rFonts w:hint="eastAsia" w:ascii="方正小标宋简体" w:eastAsia="方正小标宋简体"/>
          <w:spacing w:val="-6"/>
          <w:sz w:val="44"/>
          <w:szCs w:val="44"/>
          <w:lang w:eastAsia="zh-CN"/>
        </w:rPr>
        <w:t>名单</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eastAsia="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仿宋_GB2312" w:eastAsia="仿宋_GB2312"/>
          <w:spacing w:val="-6"/>
          <w:sz w:val="32"/>
          <w:szCs w:val="32"/>
          <w:lang w:val="en-US" w:eastAsia="zh-CN"/>
        </w:rPr>
      </w:pPr>
      <w:r>
        <w:rPr>
          <w:rFonts w:hint="eastAsia" w:ascii="黑体" w:hAnsi="黑体" w:eastAsia="黑体"/>
          <w:spacing w:val="-6"/>
          <w:sz w:val="32"/>
          <w:szCs w:val="32"/>
        </w:rPr>
        <w:t>组  长：</w:t>
      </w:r>
      <w:r>
        <w:rPr>
          <w:rFonts w:hint="eastAsia" w:ascii="仿宋_GB2312"/>
          <w:spacing w:val="-6"/>
          <w:sz w:val="32"/>
          <w:szCs w:val="32"/>
          <w:lang w:val="en-US" w:eastAsia="zh-CN"/>
        </w:rPr>
        <w:t>王洪斌</w:t>
      </w:r>
      <w:r>
        <w:rPr>
          <w:rFonts w:hint="eastAsia" w:ascii="仿宋_GB2312" w:eastAsia="仿宋_GB2312"/>
          <w:spacing w:val="-6"/>
          <w:sz w:val="32"/>
          <w:szCs w:val="32"/>
        </w:rPr>
        <w:t xml:space="preserve">  </w:t>
      </w:r>
      <w:r>
        <w:rPr>
          <w:rFonts w:hint="eastAsia" w:ascii="仿宋_GB2312" w:eastAsia="仿宋_GB2312"/>
          <w:spacing w:val="-6"/>
          <w:sz w:val="32"/>
          <w:szCs w:val="32"/>
          <w:lang w:val="en-US" w:eastAsia="zh-CN"/>
        </w:rPr>
        <w:t>党组</w:t>
      </w:r>
      <w:r>
        <w:rPr>
          <w:rFonts w:hint="eastAsia" w:ascii="仿宋_GB2312"/>
          <w:spacing w:val="-6"/>
          <w:sz w:val="32"/>
          <w:szCs w:val="32"/>
          <w:lang w:val="en-US" w:eastAsia="zh-CN"/>
        </w:rPr>
        <w:t>书记</w:t>
      </w:r>
      <w:r>
        <w:rPr>
          <w:rFonts w:hint="eastAsia" w:ascii="仿宋_GB2312" w:eastAsia="仿宋_GB2312"/>
          <w:spacing w:val="-6"/>
          <w:sz w:val="32"/>
          <w:szCs w:val="32"/>
          <w:lang w:val="en-US"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rPr>
      </w:pPr>
      <w:r>
        <w:rPr>
          <w:rFonts w:hint="eastAsia" w:ascii="黑体" w:hAnsi="黑体" w:eastAsia="黑体"/>
          <w:spacing w:val="-6"/>
          <w:sz w:val="32"/>
          <w:szCs w:val="32"/>
        </w:rPr>
        <w:t>副组长：</w:t>
      </w:r>
      <w:r>
        <w:rPr>
          <w:rFonts w:hint="eastAsia" w:ascii="仿宋_GB2312"/>
          <w:spacing w:val="-6"/>
          <w:sz w:val="32"/>
          <w:szCs w:val="32"/>
          <w:lang w:val="en-US" w:eastAsia="zh-CN"/>
        </w:rPr>
        <w:t>赵振建</w:t>
      </w:r>
      <w:r>
        <w:rPr>
          <w:rFonts w:hint="eastAsia" w:ascii="仿宋_GB2312" w:eastAsia="仿宋_GB2312"/>
          <w:spacing w:val="-6"/>
          <w:sz w:val="32"/>
          <w:szCs w:val="32"/>
        </w:rPr>
        <w:t xml:space="preserve">  </w:t>
      </w:r>
      <w:r>
        <w:rPr>
          <w:rFonts w:hint="eastAsia" w:ascii="仿宋_GB2312" w:eastAsia="仿宋_GB2312"/>
          <w:spacing w:val="-6"/>
          <w:sz w:val="32"/>
          <w:szCs w:val="32"/>
          <w:lang w:val="en-US" w:eastAsia="zh-CN"/>
        </w:rPr>
        <w:t>党组成员、</w:t>
      </w:r>
      <w:r>
        <w:rPr>
          <w:rFonts w:hint="eastAsia" w:ascii="仿宋_GB2312"/>
          <w:spacing w:val="-6"/>
          <w:sz w:val="32"/>
          <w:szCs w:val="32"/>
          <w:lang w:val="en-US" w:eastAsia="zh-CN"/>
        </w:rPr>
        <w:t>副局长</w:t>
      </w:r>
    </w:p>
    <w:p>
      <w:pPr>
        <w:keepNext w:val="0"/>
        <w:keepLines w:val="0"/>
        <w:pageBreakBefore w:val="0"/>
        <w:widowControl w:val="0"/>
        <w:tabs>
          <w:tab w:val="left" w:pos="1912"/>
        </w:tabs>
        <w:kinsoku/>
        <w:wordWrap/>
        <w:overflowPunct/>
        <w:topLinePunct w:val="0"/>
        <w:autoSpaceDE/>
        <w:autoSpaceDN/>
        <w:bidi w:val="0"/>
        <w:adjustRightInd/>
        <w:snapToGrid/>
        <w:spacing w:line="560" w:lineRule="exact"/>
        <w:ind w:firstLine="1848" w:firstLineChars="600"/>
        <w:textAlignment w:val="auto"/>
        <w:rPr>
          <w:rFonts w:hint="default" w:ascii="黑体" w:hAnsi="黑体" w:eastAsia="黑体"/>
          <w:spacing w:val="-6"/>
          <w:sz w:val="32"/>
          <w:szCs w:val="32"/>
          <w:lang w:val="en-US" w:eastAsia="zh-CN"/>
        </w:rPr>
      </w:pPr>
      <w:r>
        <w:rPr>
          <w:rFonts w:hint="eastAsia" w:ascii="仿宋_GB2312"/>
          <w:spacing w:val="-6"/>
          <w:sz w:val="32"/>
          <w:szCs w:val="32"/>
          <w:lang w:val="en-US" w:eastAsia="zh-CN"/>
        </w:rPr>
        <w:t>张学来  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仿宋_GB2312" w:eastAsia="仿宋_GB2312"/>
          <w:spacing w:val="-6"/>
          <w:sz w:val="32"/>
          <w:szCs w:val="32"/>
          <w:lang w:val="en-US"/>
        </w:rPr>
      </w:pPr>
      <w:r>
        <w:rPr>
          <w:rFonts w:hint="eastAsia" w:ascii="黑体" w:hAnsi="黑体" w:eastAsia="黑体"/>
          <w:spacing w:val="-6"/>
          <w:sz w:val="32"/>
          <w:szCs w:val="32"/>
        </w:rPr>
        <w:t>成  员：</w:t>
      </w:r>
      <w:r>
        <w:rPr>
          <w:rFonts w:hint="eastAsia" w:ascii="仿宋_GB2312" w:eastAsia="仿宋_GB2312"/>
          <w:spacing w:val="-6"/>
          <w:sz w:val="32"/>
          <w:szCs w:val="32"/>
          <w:lang w:val="en-US" w:eastAsia="zh-CN"/>
        </w:rPr>
        <w:t>马运山</w:t>
      </w:r>
      <w:r>
        <w:rPr>
          <w:rFonts w:hint="eastAsia" w:ascii="仿宋_GB2312" w:eastAsia="仿宋_GB2312"/>
          <w:spacing w:val="-6"/>
          <w:sz w:val="32"/>
          <w:szCs w:val="32"/>
        </w:rPr>
        <w:t xml:space="preserve"> </w:t>
      </w:r>
      <w:r>
        <w:rPr>
          <w:rFonts w:hint="eastAsia" w:ascii="仿宋_GB2312" w:eastAsia="仿宋_GB2312"/>
          <w:spacing w:val="-6"/>
          <w:sz w:val="32"/>
          <w:szCs w:val="32"/>
          <w:lang w:val="en-US" w:eastAsia="zh-CN"/>
        </w:rPr>
        <w:t xml:space="preserve"> 财政事务中心副主任</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default" w:ascii="仿宋_GB2312" w:eastAsia="仿宋_GB2312"/>
          <w:spacing w:val="-6"/>
          <w:sz w:val="32"/>
          <w:szCs w:val="32"/>
          <w:lang w:val="en-US" w:eastAsia="zh-CN"/>
        </w:rPr>
      </w:pPr>
      <w:r>
        <w:rPr>
          <w:rFonts w:hint="eastAsia" w:ascii="仿宋_GB2312" w:eastAsia="仿宋_GB2312"/>
          <w:spacing w:val="-6"/>
          <w:sz w:val="32"/>
          <w:szCs w:val="32"/>
          <w:lang w:val="en-US" w:eastAsia="zh-CN"/>
        </w:rPr>
        <w:t>程晓莉  财政运行保障中心副主任</w:t>
      </w:r>
      <w:r>
        <w:rPr>
          <w:rFonts w:hint="eastAsia" w:ascii="仿宋_GB2312"/>
          <w:spacing w:val="-6"/>
          <w:sz w:val="32"/>
          <w:szCs w:val="32"/>
          <w:lang w:val="en-US" w:eastAsia="zh-CN"/>
        </w:rPr>
        <w:t>、预算股股长</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default" w:ascii="仿宋_GB2312" w:eastAsia="仿宋_GB2312"/>
          <w:spacing w:val="-6"/>
          <w:sz w:val="32"/>
          <w:szCs w:val="32"/>
          <w:lang w:val="en-US"/>
        </w:rPr>
      </w:pPr>
      <w:r>
        <w:rPr>
          <w:rFonts w:hint="eastAsia" w:ascii="仿宋_GB2312" w:eastAsia="仿宋_GB2312"/>
          <w:spacing w:val="-6"/>
          <w:sz w:val="32"/>
          <w:szCs w:val="32"/>
          <w:lang w:val="en-US" w:eastAsia="zh-CN"/>
        </w:rPr>
        <w:t>董建业</w:t>
      </w:r>
      <w:r>
        <w:rPr>
          <w:rFonts w:hint="eastAsia" w:ascii="仿宋_GB2312" w:eastAsia="仿宋_GB2312"/>
          <w:spacing w:val="-6"/>
          <w:sz w:val="32"/>
          <w:szCs w:val="32"/>
        </w:rPr>
        <w:t xml:space="preserve">  </w:t>
      </w:r>
      <w:r>
        <w:rPr>
          <w:rFonts w:hint="eastAsia" w:ascii="仿宋_GB2312"/>
          <w:spacing w:val="-6"/>
          <w:sz w:val="32"/>
          <w:szCs w:val="32"/>
          <w:lang w:val="en-US" w:eastAsia="zh-CN"/>
        </w:rPr>
        <w:t>预算绩效评价中心副主任、</w:t>
      </w:r>
      <w:r>
        <w:rPr>
          <w:rFonts w:hint="eastAsia" w:ascii="仿宋_GB2312" w:eastAsia="仿宋_GB2312"/>
          <w:spacing w:val="-6"/>
          <w:sz w:val="32"/>
          <w:szCs w:val="32"/>
          <w:lang w:val="en-US" w:eastAsia="zh-CN"/>
        </w:rPr>
        <w:t>债务办主任</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default" w:ascii="仿宋_GB2312" w:eastAsia="仿宋_GB2312"/>
          <w:spacing w:val="-6"/>
          <w:sz w:val="32"/>
          <w:szCs w:val="32"/>
          <w:lang w:val="en-US"/>
        </w:rPr>
      </w:pPr>
      <w:r>
        <w:rPr>
          <w:rFonts w:hint="eastAsia" w:ascii="仿宋_GB2312" w:eastAsia="仿宋_GB2312"/>
          <w:spacing w:val="-6"/>
          <w:sz w:val="32"/>
          <w:szCs w:val="32"/>
          <w:lang w:val="en-US" w:eastAsia="zh-CN"/>
        </w:rPr>
        <w:t>郝明军</w:t>
      </w:r>
      <w:r>
        <w:rPr>
          <w:rFonts w:hint="eastAsia" w:ascii="仿宋_GB2312" w:eastAsia="仿宋_GB2312"/>
          <w:spacing w:val="-6"/>
          <w:sz w:val="32"/>
          <w:szCs w:val="32"/>
        </w:rPr>
        <w:t xml:space="preserve">  </w:t>
      </w:r>
      <w:r>
        <w:rPr>
          <w:rFonts w:hint="eastAsia" w:ascii="仿宋_GB2312" w:eastAsia="仿宋_GB2312"/>
          <w:spacing w:val="-6"/>
          <w:sz w:val="32"/>
          <w:szCs w:val="32"/>
          <w:lang w:val="en-US" w:eastAsia="zh-CN"/>
        </w:rPr>
        <w:t>工业贸易股股长</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韩邦岳  综合股股长</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公茂标  农业农村股股长</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default" w:ascii="仿宋_GB2312" w:eastAsia="仿宋_GB2312"/>
          <w:spacing w:val="-6"/>
          <w:sz w:val="32"/>
          <w:szCs w:val="32"/>
          <w:lang w:val="en-US"/>
        </w:rPr>
      </w:pPr>
      <w:r>
        <w:rPr>
          <w:rFonts w:hint="eastAsia" w:ascii="仿宋_GB2312" w:eastAsia="仿宋_GB2312"/>
          <w:spacing w:val="-6"/>
          <w:sz w:val="32"/>
          <w:szCs w:val="32"/>
          <w:lang w:val="en-US" w:eastAsia="zh-CN"/>
        </w:rPr>
        <w:t>冯亚茹</w:t>
      </w:r>
      <w:r>
        <w:rPr>
          <w:rFonts w:hint="eastAsia" w:ascii="仿宋_GB2312" w:eastAsia="仿宋_GB2312"/>
          <w:spacing w:val="-6"/>
          <w:sz w:val="32"/>
          <w:szCs w:val="32"/>
        </w:rPr>
        <w:t xml:space="preserve">  </w:t>
      </w:r>
      <w:r>
        <w:rPr>
          <w:rFonts w:hint="eastAsia" w:ascii="仿宋_GB2312" w:eastAsia="仿宋_GB2312"/>
          <w:spacing w:val="-6"/>
          <w:sz w:val="32"/>
          <w:szCs w:val="32"/>
          <w:lang w:val="en-US" w:eastAsia="zh-CN"/>
        </w:rPr>
        <w:t>国库股股长</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default" w:ascii="仿宋_GB2312" w:eastAsia="仿宋_GB2312"/>
          <w:spacing w:val="-6"/>
          <w:sz w:val="32"/>
          <w:szCs w:val="32"/>
          <w:lang w:val="en-US" w:eastAsia="zh-CN"/>
        </w:rPr>
      </w:pPr>
      <w:r>
        <w:rPr>
          <w:rFonts w:hint="eastAsia" w:ascii="仿宋_GB2312" w:eastAsia="仿宋_GB2312"/>
          <w:spacing w:val="-6"/>
          <w:sz w:val="32"/>
          <w:szCs w:val="32"/>
          <w:lang w:val="en-US" w:eastAsia="zh-CN"/>
        </w:rPr>
        <w:t>赵爱英  教科文股股长</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eastAsia" w:ascii="仿宋_GB2312" w:eastAsia="仿宋_GB2312"/>
          <w:spacing w:val="-6"/>
          <w:sz w:val="32"/>
          <w:szCs w:val="32"/>
        </w:rPr>
      </w:pPr>
      <w:r>
        <w:rPr>
          <w:rFonts w:hint="eastAsia" w:ascii="仿宋_GB2312" w:eastAsia="仿宋_GB2312"/>
          <w:spacing w:val="-6"/>
          <w:sz w:val="32"/>
          <w:szCs w:val="32"/>
          <w:lang w:val="en-US" w:eastAsia="zh-CN"/>
        </w:rPr>
        <w:t>张  涛</w:t>
      </w:r>
      <w:r>
        <w:rPr>
          <w:rFonts w:hint="eastAsia" w:ascii="仿宋_GB2312" w:eastAsia="仿宋_GB2312"/>
          <w:spacing w:val="-6"/>
          <w:sz w:val="32"/>
          <w:szCs w:val="32"/>
        </w:rPr>
        <w:t xml:space="preserve">  </w:t>
      </w:r>
      <w:r>
        <w:rPr>
          <w:rFonts w:hint="eastAsia" w:ascii="仿宋_GB2312" w:eastAsia="仿宋_GB2312"/>
          <w:spacing w:val="-6"/>
          <w:sz w:val="32"/>
          <w:szCs w:val="32"/>
          <w:lang w:val="en-US" w:eastAsia="zh-CN"/>
        </w:rPr>
        <w:t>监督评价股股长</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刘  霞</w:t>
      </w:r>
      <w:r>
        <w:rPr>
          <w:rFonts w:hint="eastAsia" w:ascii="仿宋_GB2312" w:eastAsia="仿宋_GB2312"/>
          <w:spacing w:val="-6"/>
          <w:sz w:val="32"/>
          <w:szCs w:val="32"/>
        </w:rPr>
        <w:t xml:space="preserve">  </w:t>
      </w:r>
      <w:r>
        <w:rPr>
          <w:rFonts w:hint="eastAsia" w:ascii="仿宋_GB2312" w:eastAsia="仿宋_GB2312"/>
          <w:spacing w:val="-6"/>
          <w:sz w:val="32"/>
          <w:szCs w:val="32"/>
          <w:lang w:val="en-US" w:eastAsia="zh-CN"/>
        </w:rPr>
        <w:t>金融和国际合作股股长</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default"/>
          <w:lang w:val="en-US" w:eastAsia="zh-CN"/>
        </w:rPr>
      </w:pPr>
      <w:r>
        <w:rPr>
          <w:rFonts w:hint="default" w:ascii="仿宋_GB2312" w:eastAsia="仿宋_GB2312"/>
          <w:spacing w:val="-6"/>
          <w:sz w:val="32"/>
          <w:szCs w:val="32"/>
          <w:lang w:val="en-US" w:eastAsia="zh-CN"/>
        </w:rPr>
        <w:t>韩晓玉  经济建设股</w:t>
      </w:r>
      <w:r>
        <w:rPr>
          <w:rFonts w:hint="eastAsia" w:ascii="仿宋_GB2312" w:eastAsia="仿宋_GB2312"/>
          <w:spacing w:val="-6"/>
          <w:sz w:val="32"/>
          <w:szCs w:val="32"/>
          <w:lang w:val="en-US" w:eastAsia="zh-CN"/>
        </w:rPr>
        <w:t>副</w:t>
      </w:r>
      <w:r>
        <w:rPr>
          <w:rFonts w:hint="default" w:ascii="仿宋_GB2312" w:eastAsia="仿宋_GB2312"/>
          <w:spacing w:val="-6"/>
          <w:sz w:val="32"/>
          <w:szCs w:val="32"/>
          <w:lang w:val="en-US" w:eastAsia="zh-CN"/>
        </w:rPr>
        <w:t>股长</w:t>
      </w:r>
      <w:r>
        <w:rPr>
          <w:rFonts w:hint="eastAsia" w:ascii="仿宋_GB2312" w:eastAsia="仿宋_GB2312"/>
          <w:spacing w:val="-6"/>
          <w:sz w:val="32"/>
          <w:szCs w:val="32"/>
          <w:lang w:val="en-US" w:eastAsia="zh-CN"/>
        </w:rPr>
        <w:t>（主持工作）</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default" w:ascii="仿宋_GB2312" w:eastAsia="仿宋_GB2312"/>
          <w:spacing w:val="-6"/>
          <w:sz w:val="32"/>
          <w:szCs w:val="32"/>
          <w:lang w:val="en-US" w:eastAsia="zh-CN"/>
        </w:rPr>
      </w:pPr>
      <w:r>
        <w:rPr>
          <w:rFonts w:hint="eastAsia" w:ascii="仿宋_GB2312"/>
          <w:spacing w:val="-6"/>
          <w:sz w:val="32"/>
          <w:szCs w:val="32"/>
          <w:lang w:val="en-US" w:eastAsia="zh-CN"/>
        </w:rPr>
        <w:t>单  波  山东弘道财金控股有限公司副总经理</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eastAsia="仿宋_GB2312"/>
          <w:spacing w:val="-6"/>
          <w:sz w:val="32"/>
          <w:szCs w:val="32"/>
        </w:rPr>
      </w:pPr>
      <w:r>
        <w:rPr>
          <w:rFonts w:hint="eastAsia" w:ascii="仿宋_GB2312" w:eastAsia="仿宋_GB2312"/>
          <w:spacing w:val="-6"/>
          <w:sz w:val="32"/>
          <w:szCs w:val="32"/>
        </w:rPr>
        <w:t>专班具体</w:t>
      </w:r>
      <w:r>
        <w:rPr>
          <w:rFonts w:hint="eastAsia" w:ascii="仿宋_GB2312" w:eastAsia="仿宋_GB2312"/>
          <w:spacing w:val="-6"/>
          <w:sz w:val="32"/>
          <w:szCs w:val="32"/>
          <w:lang w:val="en-US" w:eastAsia="zh-CN"/>
        </w:rPr>
        <w:t>负责</w:t>
      </w:r>
      <w:r>
        <w:rPr>
          <w:rFonts w:hint="eastAsia" w:ascii="仿宋_GB2312" w:eastAsia="仿宋_GB2312"/>
          <w:spacing w:val="-6"/>
          <w:sz w:val="32"/>
          <w:szCs w:val="32"/>
        </w:rPr>
        <w:t>财政支持“工业强区、产业兴区”三年攻坚突破行动</w:t>
      </w:r>
      <w:r>
        <w:rPr>
          <w:rFonts w:hint="eastAsia" w:ascii="仿宋_GB2312"/>
          <w:spacing w:val="-6"/>
          <w:sz w:val="32"/>
          <w:szCs w:val="32"/>
          <w:lang w:val="en-US" w:eastAsia="zh-CN"/>
        </w:rPr>
        <w:t>相关</w:t>
      </w:r>
      <w:r>
        <w:rPr>
          <w:rFonts w:hint="eastAsia" w:ascii="仿宋_GB2312" w:eastAsia="仿宋_GB2312"/>
          <w:spacing w:val="-6"/>
          <w:sz w:val="32"/>
          <w:szCs w:val="32"/>
        </w:rPr>
        <w:t>政策措施</w:t>
      </w:r>
      <w:r>
        <w:rPr>
          <w:rFonts w:hint="eastAsia" w:ascii="仿宋_GB2312"/>
          <w:spacing w:val="-6"/>
          <w:sz w:val="32"/>
          <w:szCs w:val="32"/>
          <w:lang w:val="en-US" w:eastAsia="zh-CN"/>
        </w:rPr>
        <w:t>的贯彻落实及</w:t>
      </w:r>
      <w:r>
        <w:rPr>
          <w:rFonts w:hint="eastAsia" w:ascii="仿宋_GB2312" w:eastAsia="仿宋_GB2312"/>
          <w:spacing w:val="-6"/>
          <w:sz w:val="32"/>
          <w:szCs w:val="32"/>
        </w:rPr>
        <w:t>工作</w:t>
      </w:r>
      <w:r>
        <w:rPr>
          <w:rFonts w:hint="eastAsia" w:ascii="仿宋_GB2312"/>
          <w:spacing w:val="-6"/>
          <w:sz w:val="32"/>
          <w:szCs w:val="32"/>
          <w:lang w:val="en-US" w:eastAsia="zh-CN"/>
        </w:rPr>
        <w:t>推进、调度、督查等</w:t>
      </w:r>
      <w:r>
        <w:rPr>
          <w:rFonts w:hint="eastAsia" w:ascii="仿宋_GB2312" w:eastAsia="仿宋_GB2312"/>
          <w:spacing w:val="-6"/>
          <w:sz w:val="32"/>
          <w:szCs w:val="32"/>
        </w:rPr>
        <w:t>。专班</w:t>
      </w:r>
      <w:r>
        <w:rPr>
          <w:rFonts w:hint="eastAsia" w:ascii="仿宋_GB2312" w:eastAsia="仿宋_GB2312"/>
          <w:spacing w:val="-6"/>
          <w:sz w:val="32"/>
          <w:szCs w:val="32"/>
          <w:lang w:eastAsia="zh-CN"/>
        </w:rPr>
        <w:t>下设</w:t>
      </w:r>
      <w:r>
        <w:rPr>
          <w:rFonts w:hint="eastAsia" w:ascii="仿宋_GB2312" w:eastAsia="仿宋_GB2312"/>
          <w:spacing w:val="-6"/>
          <w:sz w:val="32"/>
          <w:szCs w:val="32"/>
        </w:rPr>
        <w:t>办公室，</w:t>
      </w:r>
      <w:r>
        <w:rPr>
          <w:rFonts w:hint="eastAsia" w:ascii="仿宋_GB2312"/>
          <w:spacing w:val="-6"/>
          <w:sz w:val="32"/>
          <w:szCs w:val="32"/>
          <w:lang w:val="en-US" w:eastAsia="zh-CN"/>
        </w:rPr>
        <w:t>张学来</w:t>
      </w:r>
      <w:r>
        <w:rPr>
          <w:rFonts w:hint="eastAsia" w:ascii="仿宋_GB2312" w:eastAsia="仿宋_GB2312"/>
          <w:spacing w:val="-6"/>
          <w:sz w:val="32"/>
          <w:szCs w:val="32"/>
          <w:lang w:eastAsia="zh-CN"/>
        </w:rPr>
        <w:t>同志</w:t>
      </w:r>
      <w:r>
        <w:rPr>
          <w:rFonts w:hint="eastAsia" w:ascii="仿宋_GB2312" w:eastAsia="仿宋_GB2312"/>
          <w:spacing w:val="-6"/>
          <w:sz w:val="32"/>
          <w:szCs w:val="32"/>
        </w:rPr>
        <w:t>兼任办公室主任</w:t>
      </w:r>
      <w:r>
        <w:rPr>
          <w:rFonts w:hint="eastAsia" w:ascii="仿宋_GB2312"/>
          <w:spacing w:val="-6"/>
          <w:sz w:val="32"/>
          <w:szCs w:val="32"/>
          <w:lang w:eastAsia="zh-CN"/>
        </w:rPr>
        <w:t>，</w:t>
      </w:r>
      <w:r>
        <w:rPr>
          <w:rFonts w:hint="eastAsia" w:ascii="仿宋_GB2312" w:eastAsia="仿宋_GB2312"/>
          <w:spacing w:val="-6"/>
          <w:sz w:val="32"/>
          <w:szCs w:val="32"/>
          <w:lang w:val="en-US" w:eastAsia="zh-CN"/>
        </w:rPr>
        <w:t>郝明军</w:t>
      </w:r>
      <w:r>
        <w:rPr>
          <w:rFonts w:hint="eastAsia" w:ascii="仿宋_GB2312"/>
          <w:spacing w:val="-6"/>
          <w:sz w:val="32"/>
          <w:szCs w:val="32"/>
          <w:lang w:val="en-US" w:eastAsia="zh-CN"/>
        </w:rPr>
        <w:t>同志兼任办公室副主任</w:t>
      </w:r>
      <w:r>
        <w:rPr>
          <w:rFonts w:hint="eastAsia" w:ascii="仿宋_GB2312" w:eastAsia="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center"/>
        <w:textAlignment w:val="auto"/>
        <w:rPr>
          <w:rFonts w:ascii="仿宋_GB2312" w:eastAsia="仿宋_GB2312"/>
          <w:spacing w:val="-6"/>
          <w:sz w:val="32"/>
          <w:szCs w:val="32"/>
        </w:rPr>
      </w:pPr>
      <w:r>
        <w:rPr>
          <w:rFonts w:ascii="仿宋_GB2312" w:eastAsia="仿宋_GB2312"/>
          <w:spacing w:val="-6"/>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仿宋_GB2312" w:eastAsia="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eastAsia="方正小标宋简体" w:cs="Times New Roman"/>
          <w:color w:val="000000"/>
          <w:spacing w:val="-6"/>
          <w:sz w:val="44"/>
          <w:szCs w:val="36"/>
        </w:rPr>
      </w:pPr>
      <w:r>
        <w:rPr>
          <w:rFonts w:hint="eastAsia" w:ascii="方正小标宋简体" w:eastAsia="方正小标宋简体"/>
          <w:spacing w:val="-6"/>
          <w:sz w:val="44"/>
          <w:szCs w:val="44"/>
          <w:lang w:val="en-US" w:eastAsia="zh-CN"/>
        </w:rPr>
        <w:t>财政支持</w:t>
      </w:r>
      <w:r>
        <w:rPr>
          <w:rFonts w:eastAsia="方正小标宋简体" w:cs="Times New Roman"/>
          <w:color w:val="000000"/>
          <w:spacing w:val="-6"/>
          <w:sz w:val="44"/>
          <w:szCs w:val="36"/>
        </w:rPr>
        <w:t>“双十镇”高质量发展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eastAsia="方正小标宋简体"/>
          <w:spacing w:val="-6"/>
          <w:sz w:val="44"/>
          <w:szCs w:val="44"/>
          <w:lang w:eastAsia="zh-CN"/>
        </w:rPr>
      </w:pPr>
      <w:r>
        <w:rPr>
          <w:rFonts w:hint="eastAsia" w:ascii="方正小标宋简体" w:eastAsia="方正小标宋简体"/>
          <w:spacing w:val="-6"/>
          <w:sz w:val="44"/>
          <w:szCs w:val="44"/>
          <w:lang w:val="en-US" w:eastAsia="zh-CN"/>
        </w:rPr>
        <w:t>工作专班</w:t>
      </w:r>
      <w:r>
        <w:rPr>
          <w:rFonts w:hint="eastAsia" w:ascii="方正小标宋简体" w:eastAsia="方正小标宋简体"/>
          <w:spacing w:val="-6"/>
          <w:sz w:val="44"/>
          <w:szCs w:val="44"/>
        </w:rPr>
        <w:t>成员</w:t>
      </w:r>
      <w:r>
        <w:rPr>
          <w:rFonts w:hint="eastAsia" w:ascii="方正小标宋简体" w:eastAsia="方正小标宋简体"/>
          <w:spacing w:val="-6"/>
          <w:sz w:val="44"/>
          <w:szCs w:val="44"/>
          <w:lang w:eastAsia="zh-CN"/>
        </w:rPr>
        <w:t>名单</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eastAsia="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仿宋_GB2312" w:eastAsia="仿宋_GB2312"/>
          <w:spacing w:val="-6"/>
          <w:sz w:val="32"/>
          <w:szCs w:val="32"/>
          <w:lang w:val="en-US" w:eastAsia="zh-CN"/>
        </w:rPr>
      </w:pPr>
      <w:r>
        <w:rPr>
          <w:rFonts w:hint="eastAsia" w:ascii="黑体" w:hAnsi="黑体" w:eastAsia="黑体"/>
          <w:spacing w:val="-6"/>
          <w:sz w:val="32"/>
          <w:szCs w:val="32"/>
        </w:rPr>
        <w:t>组  长：</w:t>
      </w:r>
      <w:r>
        <w:rPr>
          <w:rFonts w:hint="eastAsia" w:ascii="仿宋_GB2312"/>
          <w:spacing w:val="-6"/>
          <w:sz w:val="32"/>
          <w:szCs w:val="32"/>
          <w:lang w:val="en-US" w:eastAsia="zh-CN"/>
        </w:rPr>
        <w:t>王洪斌</w:t>
      </w:r>
      <w:r>
        <w:rPr>
          <w:rFonts w:hint="eastAsia" w:ascii="仿宋_GB2312" w:eastAsia="仿宋_GB2312"/>
          <w:spacing w:val="-6"/>
          <w:sz w:val="32"/>
          <w:szCs w:val="32"/>
        </w:rPr>
        <w:t xml:space="preserve">  </w:t>
      </w:r>
      <w:r>
        <w:rPr>
          <w:rFonts w:hint="eastAsia" w:ascii="仿宋_GB2312" w:eastAsia="仿宋_GB2312"/>
          <w:spacing w:val="-6"/>
          <w:sz w:val="32"/>
          <w:szCs w:val="32"/>
          <w:lang w:val="en-US" w:eastAsia="zh-CN"/>
        </w:rPr>
        <w:t>党组</w:t>
      </w:r>
      <w:r>
        <w:rPr>
          <w:rFonts w:hint="eastAsia" w:ascii="仿宋_GB2312"/>
          <w:spacing w:val="-6"/>
          <w:sz w:val="32"/>
          <w:szCs w:val="32"/>
          <w:lang w:val="en-US" w:eastAsia="zh-CN"/>
        </w:rPr>
        <w:t>书记</w:t>
      </w:r>
      <w:r>
        <w:rPr>
          <w:rFonts w:hint="eastAsia" w:ascii="仿宋_GB2312" w:eastAsia="仿宋_GB2312"/>
          <w:spacing w:val="-6"/>
          <w:sz w:val="32"/>
          <w:szCs w:val="32"/>
          <w:lang w:val="en-US"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rPr>
      </w:pPr>
      <w:r>
        <w:rPr>
          <w:rFonts w:hint="eastAsia" w:ascii="黑体" w:hAnsi="黑体" w:eastAsia="黑体"/>
          <w:spacing w:val="-6"/>
          <w:sz w:val="32"/>
          <w:szCs w:val="32"/>
        </w:rPr>
        <w:t>副组长：</w:t>
      </w:r>
      <w:r>
        <w:rPr>
          <w:rFonts w:hint="eastAsia" w:ascii="仿宋_GB2312"/>
          <w:spacing w:val="-6"/>
          <w:sz w:val="32"/>
          <w:szCs w:val="32"/>
          <w:lang w:val="en-US" w:eastAsia="zh-CN"/>
        </w:rPr>
        <w:t>王  冠  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eastAsia" w:ascii="黑体" w:hAnsi="黑体" w:eastAsia="黑体"/>
          <w:spacing w:val="-6"/>
          <w:sz w:val="32"/>
          <w:szCs w:val="32"/>
        </w:rPr>
      </w:pPr>
      <w:r>
        <w:rPr>
          <w:rFonts w:hint="eastAsia" w:ascii="仿宋_GB2312"/>
          <w:spacing w:val="-6"/>
          <w:sz w:val="32"/>
          <w:szCs w:val="32"/>
          <w:lang w:val="en-US" w:eastAsia="zh-CN"/>
        </w:rPr>
        <w:t>张学来  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eastAsia="仿宋_GB2312"/>
          <w:spacing w:val="-6"/>
          <w:sz w:val="32"/>
          <w:szCs w:val="32"/>
        </w:rPr>
      </w:pPr>
      <w:r>
        <w:rPr>
          <w:rFonts w:hint="eastAsia" w:ascii="黑体" w:hAnsi="黑体" w:eastAsia="黑体"/>
          <w:spacing w:val="-6"/>
          <w:sz w:val="32"/>
          <w:szCs w:val="32"/>
        </w:rPr>
        <w:t>成  员：</w:t>
      </w:r>
      <w:r>
        <w:rPr>
          <w:rFonts w:hint="eastAsia" w:ascii="仿宋_GB2312" w:hAnsi="Times New Roman" w:eastAsia="仿宋_GB2312" w:cs="Times New Roman"/>
          <w:spacing w:val="-6"/>
          <w:sz w:val="32"/>
          <w:szCs w:val="32"/>
          <w:lang w:eastAsia="zh-CN"/>
        </w:rPr>
        <w:t>程晓莉  财政运行保障中心副主任</w:t>
      </w:r>
      <w:r>
        <w:rPr>
          <w:rFonts w:hint="eastAsia" w:ascii="仿宋_GB2312"/>
          <w:spacing w:val="-6"/>
          <w:sz w:val="32"/>
          <w:szCs w:val="32"/>
          <w:lang w:val="en-US" w:eastAsia="zh-CN"/>
        </w:rPr>
        <w:t>、预算股股长</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default" w:ascii="仿宋_GB2312" w:eastAsia="仿宋_GB2312"/>
          <w:spacing w:val="-6"/>
          <w:sz w:val="32"/>
          <w:szCs w:val="32"/>
          <w:lang w:val="en-US"/>
        </w:rPr>
      </w:pPr>
      <w:r>
        <w:rPr>
          <w:rFonts w:hint="eastAsia" w:ascii="仿宋_GB2312" w:eastAsia="仿宋_GB2312"/>
          <w:spacing w:val="-6"/>
          <w:sz w:val="32"/>
          <w:szCs w:val="32"/>
          <w:lang w:val="en-US" w:eastAsia="zh-CN"/>
        </w:rPr>
        <w:t>董建业</w:t>
      </w:r>
      <w:r>
        <w:rPr>
          <w:rFonts w:hint="eastAsia" w:ascii="仿宋_GB2312" w:eastAsia="仿宋_GB2312"/>
          <w:spacing w:val="-6"/>
          <w:sz w:val="32"/>
          <w:szCs w:val="32"/>
        </w:rPr>
        <w:t xml:space="preserve">  </w:t>
      </w:r>
      <w:r>
        <w:rPr>
          <w:rFonts w:hint="eastAsia" w:ascii="仿宋_GB2312"/>
          <w:spacing w:val="-6"/>
          <w:sz w:val="32"/>
          <w:szCs w:val="32"/>
          <w:lang w:val="en-US" w:eastAsia="zh-CN"/>
        </w:rPr>
        <w:t>预算绩效评价中心副主任、</w:t>
      </w:r>
      <w:r>
        <w:rPr>
          <w:rFonts w:hint="eastAsia" w:ascii="仿宋_GB2312" w:eastAsia="仿宋_GB2312"/>
          <w:spacing w:val="-6"/>
          <w:sz w:val="32"/>
          <w:szCs w:val="32"/>
          <w:lang w:val="en-US" w:eastAsia="zh-CN"/>
        </w:rPr>
        <w:t>债务办主任</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郝明军  工业贸易股股长</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韩邦岳</w:t>
      </w:r>
      <w:r>
        <w:rPr>
          <w:rFonts w:hint="eastAsia" w:ascii="仿宋_GB2312" w:eastAsia="仿宋_GB2312"/>
          <w:spacing w:val="-6"/>
          <w:sz w:val="32"/>
          <w:szCs w:val="32"/>
        </w:rPr>
        <w:t xml:space="preserve">  </w:t>
      </w:r>
      <w:r>
        <w:rPr>
          <w:rFonts w:hint="eastAsia" w:ascii="仿宋_GB2312" w:eastAsia="仿宋_GB2312"/>
          <w:spacing w:val="-6"/>
          <w:sz w:val="32"/>
          <w:szCs w:val="32"/>
          <w:lang w:val="en-US" w:eastAsia="zh-CN"/>
        </w:rPr>
        <w:t>综合股股长</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公茂标</w:t>
      </w:r>
      <w:r>
        <w:rPr>
          <w:rFonts w:hint="eastAsia" w:ascii="仿宋_GB2312" w:eastAsia="仿宋_GB2312"/>
          <w:spacing w:val="-6"/>
          <w:sz w:val="32"/>
          <w:szCs w:val="32"/>
        </w:rPr>
        <w:t xml:space="preserve">  </w:t>
      </w:r>
      <w:r>
        <w:rPr>
          <w:rFonts w:hint="eastAsia" w:ascii="仿宋_GB2312" w:eastAsia="仿宋_GB2312"/>
          <w:spacing w:val="-6"/>
          <w:sz w:val="32"/>
          <w:szCs w:val="32"/>
          <w:lang w:val="en-US" w:eastAsia="zh-CN"/>
        </w:rPr>
        <w:t>农业农村股股长</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default" w:ascii="仿宋_GB2312" w:eastAsia="仿宋_GB2312"/>
          <w:spacing w:val="-6"/>
          <w:sz w:val="32"/>
          <w:szCs w:val="32"/>
          <w:lang w:val="en-US" w:eastAsia="zh-CN"/>
        </w:rPr>
      </w:pPr>
      <w:r>
        <w:rPr>
          <w:rFonts w:hint="default" w:ascii="仿宋_GB2312" w:eastAsia="仿宋_GB2312"/>
          <w:spacing w:val="-6"/>
          <w:sz w:val="32"/>
          <w:szCs w:val="32"/>
          <w:lang w:val="en-US" w:eastAsia="zh-CN"/>
        </w:rPr>
        <w:t>赵爱英  教科文股股长</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default" w:ascii="仿宋_GB2312" w:eastAsia="仿宋_GB2312"/>
          <w:spacing w:val="-6"/>
          <w:sz w:val="32"/>
          <w:szCs w:val="32"/>
          <w:lang w:val="en-US" w:eastAsia="zh-CN"/>
        </w:rPr>
      </w:pPr>
      <w:r>
        <w:rPr>
          <w:rFonts w:hint="default" w:ascii="仿宋_GB2312" w:eastAsia="仿宋_GB2312"/>
          <w:spacing w:val="-6"/>
          <w:sz w:val="32"/>
          <w:szCs w:val="32"/>
          <w:lang w:val="en-US" w:eastAsia="zh-CN"/>
        </w:rPr>
        <w:t>刘  霞  金融和国际合作股股长</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韩晓玉  经济建设股副股长（主持工作）</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rPr>
        <w:t>专班具体负责财政支持“双十镇”高质量发展</w:t>
      </w:r>
      <w:r>
        <w:rPr>
          <w:rFonts w:hint="eastAsia" w:ascii="仿宋_GB2312"/>
          <w:spacing w:val="-6"/>
          <w:sz w:val="32"/>
          <w:szCs w:val="32"/>
          <w:lang w:val="en-US" w:eastAsia="zh-CN"/>
        </w:rPr>
        <w:t>相关</w:t>
      </w:r>
      <w:r>
        <w:rPr>
          <w:rFonts w:hint="eastAsia" w:ascii="仿宋_GB2312" w:eastAsia="仿宋_GB2312"/>
          <w:spacing w:val="-6"/>
          <w:sz w:val="32"/>
          <w:szCs w:val="32"/>
        </w:rPr>
        <w:t>政策措施</w:t>
      </w:r>
      <w:r>
        <w:rPr>
          <w:rFonts w:hint="eastAsia" w:ascii="仿宋_GB2312"/>
          <w:spacing w:val="-6"/>
          <w:sz w:val="32"/>
          <w:szCs w:val="32"/>
          <w:lang w:val="en-US" w:eastAsia="zh-CN"/>
        </w:rPr>
        <w:t>的贯彻落实及</w:t>
      </w:r>
      <w:r>
        <w:rPr>
          <w:rFonts w:hint="eastAsia" w:ascii="仿宋_GB2312" w:eastAsia="仿宋_GB2312"/>
          <w:spacing w:val="-6"/>
          <w:sz w:val="32"/>
          <w:szCs w:val="32"/>
        </w:rPr>
        <w:t>工作</w:t>
      </w:r>
      <w:r>
        <w:rPr>
          <w:rFonts w:hint="eastAsia" w:ascii="仿宋_GB2312"/>
          <w:spacing w:val="-6"/>
          <w:sz w:val="32"/>
          <w:szCs w:val="32"/>
          <w:lang w:val="en-US" w:eastAsia="zh-CN"/>
        </w:rPr>
        <w:t>推进、调度、督查等</w:t>
      </w:r>
      <w:r>
        <w:rPr>
          <w:rFonts w:hint="eastAsia" w:ascii="仿宋_GB2312" w:eastAsia="仿宋_GB2312"/>
          <w:spacing w:val="-6"/>
          <w:sz w:val="32"/>
          <w:szCs w:val="32"/>
        </w:rPr>
        <w:t>。</w:t>
      </w:r>
      <w:r>
        <w:rPr>
          <w:rFonts w:hint="eastAsia" w:ascii="仿宋_GB2312" w:hAnsi="Times New Roman" w:eastAsia="仿宋_GB2312" w:cs="Times New Roman"/>
          <w:spacing w:val="-6"/>
          <w:sz w:val="32"/>
          <w:szCs w:val="32"/>
        </w:rPr>
        <w:t>专班</w:t>
      </w:r>
      <w:r>
        <w:rPr>
          <w:rFonts w:hint="eastAsia" w:ascii="仿宋_GB2312" w:hAnsi="Times New Roman" w:eastAsia="仿宋_GB2312" w:cs="Times New Roman"/>
          <w:spacing w:val="-6"/>
          <w:sz w:val="32"/>
          <w:szCs w:val="32"/>
          <w:lang w:eastAsia="zh-CN"/>
        </w:rPr>
        <w:t>下设</w:t>
      </w:r>
      <w:r>
        <w:rPr>
          <w:rFonts w:hint="eastAsia" w:ascii="仿宋_GB2312" w:hAnsi="Times New Roman" w:eastAsia="仿宋_GB2312" w:cs="Times New Roman"/>
          <w:spacing w:val="-6"/>
          <w:sz w:val="32"/>
          <w:szCs w:val="32"/>
        </w:rPr>
        <w:t>办公室，</w:t>
      </w:r>
      <w:r>
        <w:rPr>
          <w:rFonts w:hint="eastAsia" w:ascii="仿宋_GB2312"/>
          <w:spacing w:val="-6"/>
          <w:sz w:val="32"/>
          <w:szCs w:val="32"/>
          <w:lang w:val="en-US" w:eastAsia="zh-CN"/>
        </w:rPr>
        <w:t>张学来</w:t>
      </w:r>
      <w:r>
        <w:rPr>
          <w:rFonts w:hint="eastAsia" w:ascii="仿宋_GB2312" w:eastAsia="仿宋_GB2312"/>
          <w:spacing w:val="-6"/>
          <w:sz w:val="32"/>
          <w:szCs w:val="32"/>
          <w:lang w:eastAsia="zh-CN"/>
        </w:rPr>
        <w:t>同志</w:t>
      </w:r>
      <w:r>
        <w:rPr>
          <w:rFonts w:hint="eastAsia" w:ascii="仿宋_GB2312" w:eastAsia="仿宋_GB2312"/>
          <w:spacing w:val="-6"/>
          <w:sz w:val="32"/>
          <w:szCs w:val="32"/>
        </w:rPr>
        <w:t>兼任办公室主任</w:t>
      </w:r>
      <w:r>
        <w:rPr>
          <w:rFonts w:hint="eastAsia" w:ascii="仿宋_GB2312"/>
          <w:spacing w:val="-6"/>
          <w:sz w:val="32"/>
          <w:szCs w:val="32"/>
          <w:lang w:eastAsia="zh-CN"/>
        </w:rPr>
        <w:t>，</w:t>
      </w:r>
      <w:r>
        <w:rPr>
          <w:rFonts w:hint="eastAsia" w:ascii="仿宋_GB2312" w:hAnsi="Times New Roman" w:eastAsia="仿宋_GB2312" w:cs="Times New Roman"/>
          <w:spacing w:val="-6"/>
          <w:sz w:val="32"/>
          <w:szCs w:val="32"/>
          <w:lang w:val="en-US" w:eastAsia="zh-CN"/>
        </w:rPr>
        <w:t>公茂标</w:t>
      </w:r>
      <w:r>
        <w:rPr>
          <w:rFonts w:hint="eastAsia" w:ascii="仿宋_GB2312" w:hAnsi="Times New Roman" w:eastAsia="仿宋_GB2312" w:cs="Times New Roman"/>
          <w:spacing w:val="-6"/>
          <w:sz w:val="32"/>
          <w:szCs w:val="32"/>
          <w:lang w:eastAsia="zh-CN"/>
        </w:rPr>
        <w:t>同志</w:t>
      </w:r>
      <w:r>
        <w:rPr>
          <w:rFonts w:hint="eastAsia" w:ascii="仿宋_GB2312" w:hAnsi="Times New Roman" w:eastAsia="仿宋_GB2312" w:cs="Times New Roman"/>
          <w:spacing w:val="-6"/>
          <w:sz w:val="32"/>
          <w:szCs w:val="32"/>
        </w:rPr>
        <w:t>兼任办公室</w:t>
      </w:r>
      <w:r>
        <w:rPr>
          <w:rFonts w:hint="eastAsia" w:ascii="仿宋_GB2312" w:cs="Times New Roman"/>
          <w:spacing w:val="-6"/>
          <w:sz w:val="32"/>
          <w:szCs w:val="32"/>
          <w:lang w:val="en-US" w:eastAsia="zh-CN"/>
        </w:rPr>
        <w:t>副</w:t>
      </w:r>
      <w:r>
        <w:rPr>
          <w:rFonts w:hint="eastAsia" w:ascii="仿宋_GB2312" w:hAnsi="Times New Roman" w:eastAsia="仿宋_GB2312" w:cs="Times New Roman"/>
          <w:spacing w:val="-6"/>
          <w:sz w:val="32"/>
          <w:szCs w:val="32"/>
        </w:rPr>
        <w:t>主任。</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eastAsia="仿宋_GB2312"/>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pacing w:val="-6"/>
          <w:sz w:val="44"/>
          <w:szCs w:val="44"/>
          <w:lang w:eastAsia="zh-CN"/>
        </w:rPr>
      </w:pPr>
      <w:r>
        <w:rPr>
          <w:rFonts w:hint="eastAsia" w:ascii="方正小标宋简体" w:eastAsia="方正小标宋简体"/>
          <w:spacing w:val="-6"/>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eastAsia="方正小标宋简体"/>
          <w:spacing w:val="-6"/>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eastAsia="方正小标宋简体" w:cs="Times New Roman"/>
          <w:color w:val="000000"/>
          <w:spacing w:val="-6"/>
          <w:sz w:val="44"/>
          <w:szCs w:val="36"/>
        </w:rPr>
      </w:pPr>
      <w:r>
        <w:rPr>
          <w:rFonts w:hint="eastAsia" w:ascii="方正小标宋简体" w:eastAsia="方正小标宋简体"/>
          <w:spacing w:val="-6"/>
          <w:sz w:val="44"/>
          <w:szCs w:val="44"/>
          <w:lang w:val="en-US" w:eastAsia="zh-CN"/>
        </w:rPr>
        <w:t>财政支持</w:t>
      </w:r>
      <w:r>
        <w:rPr>
          <w:rFonts w:eastAsia="方正小标宋简体" w:cs="Times New Roman"/>
          <w:color w:val="000000"/>
          <w:spacing w:val="-6"/>
          <w:sz w:val="44"/>
          <w:szCs w:val="36"/>
        </w:rPr>
        <w:t>“山水林田大会战”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eastAsia="方正小标宋简体"/>
          <w:spacing w:val="-6"/>
          <w:sz w:val="44"/>
          <w:szCs w:val="44"/>
          <w:lang w:eastAsia="zh-CN"/>
        </w:rPr>
      </w:pPr>
      <w:r>
        <w:rPr>
          <w:rFonts w:hint="eastAsia" w:ascii="方正小标宋简体" w:eastAsia="方正小标宋简体"/>
          <w:spacing w:val="-6"/>
          <w:sz w:val="44"/>
          <w:szCs w:val="44"/>
          <w:lang w:eastAsia="zh-CN"/>
        </w:rPr>
        <w:t>工作</w:t>
      </w:r>
      <w:r>
        <w:rPr>
          <w:rFonts w:hint="eastAsia" w:ascii="方正小标宋简体" w:eastAsia="方正小标宋简体"/>
          <w:spacing w:val="-6"/>
          <w:sz w:val="44"/>
          <w:szCs w:val="44"/>
        </w:rPr>
        <w:t>专班成员</w:t>
      </w:r>
      <w:r>
        <w:rPr>
          <w:rFonts w:hint="eastAsia" w:ascii="方正小标宋简体" w:eastAsia="方正小标宋简体"/>
          <w:spacing w:val="-6"/>
          <w:sz w:val="44"/>
          <w:szCs w:val="44"/>
          <w:lang w:eastAsia="zh-CN"/>
        </w:rPr>
        <w:t>名单</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eastAsia="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仿宋_GB2312" w:eastAsia="仿宋_GB2312"/>
          <w:spacing w:val="-6"/>
          <w:sz w:val="32"/>
          <w:szCs w:val="32"/>
          <w:lang w:val="en-US" w:eastAsia="zh-CN"/>
        </w:rPr>
      </w:pPr>
      <w:r>
        <w:rPr>
          <w:rFonts w:hint="eastAsia" w:ascii="黑体" w:hAnsi="黑体" w:eastAsia="黑体"/>
          <w:spacing w:val="-6"/>
          <w:sz w:val="32"/>
          <w:szCs w:val="32"/>
        </w:rPr>
        <w:t>组  长：</w:t>
      </w:r>
      <w:r>
        <w:rPr>
          <w:rFonts w:hint="eastAsia" w:ascii="仿宋_GB2312"/>
          <w:spacing w:val="-6"/>
          <w:sz w:val="32"/>
          <w:szCs w:val="32"/>
          <w:lang w:val="en-US" w:eastAsia="zh-CN"/>
        </w:rPr>
        <w:t>王洪斌</w:t>
      </w:r>
      <w:r>
        <w:rPr>
          <w:rFonts w:hint="eastAsia" w:ascii="仿宋_GB2312" w:eastAsia="仿宋_GB2312"/>
          <w:spacing w:val="-6"/>
          <w:sz w:val="32"/>
          <w:szCs w:val="32"/>
        </w:rPr>
        <w:t xml:space="preserve">  </w:t>
      </w:r>
      <w:r>
        <w:rPr>
          <w:rFonts w:hint="eastAsia" w:ascii="仿宋_GB2312" w:eastAsia="仿宋_GB2312"/>
          <w:spacing w:val="-6"/>
          <w:sz w:val="32"/>
          <w:szCs w:val="32"/>
          <w:lang w:val="en-US" w:eastAsia="zh-CN"/>
        </w:rPr>
        <w:t>党组</w:t>
      </w:r>
      <w:r>
        <w:rPr>
          <w:rFonts w:hint="eastAsia" w:ascii="仿宋_GB2312"/>
          <w:spacing w:val="-6"/>
          <w:sz w:val="32"/>
          <w:szCs w:val="32"/>
          <w:lang w:val="en-US" w:eastAsia="zh-CN"/>
        </w:rPr>
        <w:t>书记</w:t>
      </w:r>
      <w:r>
        <w:rPr>
          <w:rFonts w:hint="eastAsia" w:ascii="仿宋_GB2312" w:eastAsia="仿宋_GB2312"/>
          <w:spacing w:val="-6"/>
          <w:sz w:val="32"/>
          <w:szCs w:val="32"/>
          <w:lang w:val="en-US"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rPr>
      </w:pPr>
      <w:r>
        <w:rPr>
          <w:rFonts w:hint="eastAsia" w:ascii="黑体" w:hAnsi="黑体" w:eastAsia="黑体"/>
          <w:spacing w:val="-6"/>
          <w:sz w:val="32"/>
          <w:szCs w:val="32"/>
        </w:rPr>
        <w:t>副组长：</w:t>
      </w:r>
      <w:r>
        <w:rPr>
          <w:rFonts w:hint="eastAsia" w:ascii="仿宋_GB2312"/>
          <w:spacing w:val="-6"/>
          <w:sz w:val="32"/>
          <w:szCs w:val="32"/>
          <w:lang w:val="en-US" w:eastAsia="zh-CN"/>
        </w:rPr>
        <w:t>张学来  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eastAsia" w:ascii="黑体" w:hAnsi="黑体" w:eastAsia="黑体"/>
          <w:spacing w:val="-6"/>
          <w:sz w:val="32"/>
          <w:szCs w:val="32"/>
        </w:rPr>
      </w:pPr>
      <w:r>
        <w:rPr>
          <w:rFonts w:hint="eastAsia" w:ascii="仿宋_GB2312" w:eastAsia="仿宋_GB2312"/>
          <w:spacing w:val="-6"/>
          <w:sz w:val="32"/>
          <w:szCs w:val="32"/>
          <w:lang w:val="en-US" w:eastAsia="zh-CN"/>
        </w:rPr>
        <w:t>孙祥军</w:t>
      </w:r>
      <w:r>
        <w:rPr>
          <w:rFonts w:hint="eastAsia" w:ascii="仿宋_GB2312" w:eastAsia="仿宋_GB2312"/>
          <w:spacing w:val="-6"/>
          <w:sz w:val="32"/>
          <w:szCs w:val="32"/>
        </w:rPr>
        <w:t xml:space="preserve">  </w:t>
      </w:r>
      <w:r>
        <w:rPr>
          <w:rFonts w:hint="eastAsia" w:ascii="仿宋_GB2312" w:eastAsia="仿宋_GB2312"/>
          <w:spacing w:val="-6"/>
          <w:sz w:val="32"/>
          <w:szCs w:val="32"/>
          <w:lang w:val="en-US" w:eastAsia="zh-CN"/>
        </w:rPr>
        <w:t>党组成员</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eastAsia="仿宋_GB2312"/>
          <w:spacing w:val="-6"/>
          <w:sz w:val="32"/>
          <w:szCs w:val="32"/>
          <w:lang w:val="en-US" w:eastAsia="zh-CN"/>
        </w:rPr>
      </w:pPr>
      <w:r>
        <w:rPr>
          <w:rFonts w:hint="eastAsia" w:ascii="黑体" w:hAnsi="黑体" w:eastAsia="黑体"/>
          <w:spacing w:val="-6"/>
          <w:sz w:val="32"/>
          <w:szCs w:val="32"/>
        </w:rPr>
        <w:t>成  员</w:t>
      </w:r>
      <w:r>
        <w:rPr>
          <w:rFonts w:hint="eastAsia" w:ascii="仿宋_GB2312" w:eastAsia="仿宋_GB2312"/>
          <w:spacing w:val="-6"/>
          <w:sz w:val="32"/>
          <w:szCs w:val="32"/>
        </w:rPr>
        <w:t>：</w:t>
      </w:r>
      <w:r>
        <w:rPr>
          <w:rFonts w:hint="eastAsia" w:ascii="仿宋_GB2312" w:eastAsia="仿宋_GB2312"/>
          <w:spacing w:val="-6"/>
          <w:sz w:val="32"/>
          <w:szCs w:val="32"/>
          <w:lang w:val="en-US" w:eastAsia="zh-CN"/>
        </w:rPr>
        <w:t xml:space="preserve">董建业  </w:t>
      </w:r>
      <w:r>
        <w:rPr>
          <w:rFonts w:hint="eastAsia" w:ascii="仿宋_GB2312"/>
          <w:spacing w:val="-6"/>
          <w:sz w:val="32"/>
          <w:szCs w:val="32"/>
          <w:lang w:val="en-US" w:eastAsia="zh-CN"/>
        </w:rPr>
        <w:t>预算绩效评价中心副主任、</w:t>
      </w:r>
      <w:r>
        <w:rPr>
          <w:rFonts w:hint="eastAsia" w:ascii="仿宋_GB2312" w:eastAsia="仿宋_GB2312"/>
          <w:spacing w:val="-6"/>
          <w:sz w:val="32"/>
          <w:szCs w:val="32"/>
          <w:lang w:val="en-US" w:eastAsia="zh-CN"/>
        </w:rPr>
        <w:t>债务办主任</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eastAsia="仿宋_GB2312"/>
          <w:spacing w:val="-6"/>
          <w:sz w:val="32"/>
          <w:szCs w:val="32"/>
          <w:lang w:eastAsia="zh-CN"/>
        </w:rPr>
      </w:pPr>
      <w:r>
        <w:rPr>
          <w:rFonts w:hint="eastAsia" w:ascii="仿宋_GB2312" w:eastAsia="仿宋_GB2312"/>
          <w:spacing w:val="-6"/>
          <w:sz w:val="32"/>
          <w:szCs w:val="32"/>
        </w:rPr>
        <w:t xml:space="preserve">        </w:t>
      </w:r>
      <w:r>
        <w:rPr>
          <w:rFonts w:hint="eastAsia" w:ascii="仿宋_GB2312" w:eastAsia="仿宋_GB2312"/>
          <w:spacing w:val="-6"/>
          <w:sz w:val="32"/>
          <w:szCs w:val="32"/>
          <w:lang w:eastAsia="zh-CN"/>
        </w:rPr>
        <w:t>公茂标  农业农村股股长</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eastAsia" w:ascii="仿宋_GB2312" w:eastAsia="仿宋_GB2312"/>
          <w:spacing w:val="-6"/>
          <w:sz w:val="32"/>
          <w:szCs w:val="32"/>
          <w:lang w:eastAsia="zh-CN"/>
        </w:rPr>
      </w:pPr>
      <w:r>
        <w:rPr>
          <w:rFonts w:hint="eastAsia" w:ascii="仿宋_GB2312" w:eastAsia="仿宋_GB2312"/>
          <w:spacing w:val="-6"/>
          <w:sz w:val="32"/>
          <w:szCs w:val="32"/>
          <w:lang w:eastAsia="zh-CN"/>
        </w:rPr>
        <w:t>韩邦岳  综合股股长</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公茂省  政府与社会资本合作中心主任</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eastAsia" w:ascii="仿宋_GB2312" w:eastAsia="仿宋_GB2312"/>
          <w:spacing w:val="-6"/>
          <w:sz w:val="32"/>
          <w:szCs w:val="32"/>
          <w:lang w:eastAsia="zh-CN"/>
        </w:rPr>
      </w:pPr>
      <w:r>
        <w:rPr>
          <w:rFonts w:hint="eastAsia" w:ascii="仿宋_GB2312" w:eastAsia="仿宋_GB2312"/>
          <w:spacing w:val="-6"/>
          <w:sz w:val="32"/>
          <w:szCs w:val="32"/>
          <w:lang w:eastAsia="zh-CN"/>
        </w:rPr>
        <w:t>韩晓玉  经济建设股副股长（主持工作）</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textAlignment w:val="auto"/>
        <w:rPr>
          <w:rFonts w:hint="default" w:ascii="仿宋_GB2312" w:hAnsi="仿宋_GB2312" w:eastAsia="仿宋_GB2312" w:cs="仿宋_GB2312"/>
          <w:color w:val="000000" w:themeColor="text1"/>
          <w:spacing w:val="-8"/>
          <w:sz w:val="32"/>
          <w:szCs w:val="32"/>
          <w:lang w:val="en-US" w:eastAsia="zh-CN"/>
          <w14:textFill>
            <w14:solidFill>
              <w14:schemeClr w14:val="tx1"/>
            </w14:solidFill>
          </w14:textFill>
        </w:rPr>
      </w:pPr>
      <w:r>
        <w:rPr>
          <w:rFonts w:hint="eastAsia" w:ascii="仿宋_GB2312" w:hAnsi="仿宋_GB2312" w:cs="仿宋_GB2312"/>
          <w:color w:val="000000" w:themeColor="text1"/>
          <w:spacing w:val="-8"/>
          <w:sz w:val="32"/>
          <w:szCs w:val="32"/>
          <w:lang w:val="en-US" w:eastAsia="zh-CN"/>
          <w14:textFill>
            <w14:solidFill>
              <w14:schemeClr w14:val="tx1"/>
            </w14:solidFill>
          </w14:textFill>
        </w:rPr>
        <w:t>闫  席  山东</w:t>
      </w:r>
      <w:r>
        <w:rPr>
          <w:rFonts w:hint="eastAsia" w:ascii="仿宋_GB2312" w:hAnsi="仿宋_GB2312" w:eastAsia="仿宋_GB2312" w:cs="仿宋_GB2312"/>
          <w:color w:val="000000" w:themeColor="text1"/>
          <w:spacing w:val="-8"/>
          <w:sz w:val="32"/>
          <w:szCs w:val="32"/>
          <w14:textFill>
            <w14:solidFill>
              <w14:schemeClr w14:val="tx1"/>
            </w14:solidFill>
          </w14:textFill>
        </w:rPr>
        <w:t>山兴</w:t>
      </w:r>
      <w:r>
        <w:rPr>
          <w:rFonts w:hint="eastAsia" w:ascii="仿宋_GB2312" w:hAnsi="仿宋_GB2312" w:cs="仿宋_GB2312"/>
          <w:color w:val="000000" w:themeColor="text1"/>
          <w:spacing w:val="-8"/>
          <w:sz w:val="32"/>
          <w:szCs w:val="32"/>
          <w:lang w:val="en-US" w:eastAsia="zh-CN"/>
          <w14:textFill>
            <w14:solidFill>
              <w14:schemeClr w14:val="tx1"/>
            </w14:solidFill>
          </w14:textFill>
        </w:rPr>
        <w:t>控股</w:t>
      </w:r>
      <w:r>
        <w:rPr>
          <w:rFonts w:hint="eastAsia" w:ascii="仿宋_GB2312" w:hAnsi="仿宋_GB2312" w:eastAsia="仿宋_GB2312" w:cs="仿宋_GB2312"/>
          <w:color w:val="000000" w:themeColor="text1"/>
          <w:spacing w:val="-8"/>
          <w:sz w:val="32"/>
          <w:szCs w:val="32"/>
          <w14:textFill>
            <w14:solidFill>
              <w14:schemeClr w14:val="tx1"/>
            </w14:solidFill>
          </w14:textFill>
        </w:rPr>
        <w:t>集团</w:t>
      </w:r>
      <w:r>
        <w:rPr>
          <w:rFonts w:hint="eastAsia" w:ascii="仿宋_GB2312" w:hAnsi="仿宋_GB2312" w:cs="仿宋_GB2312"/>
          <w:color w:val="000000" w:themeColor="text1"/>
          <w:spacing w:val="-8"/>
          <w:sz w:val="32"/>
          <w:szCs w:val="32"/>
          <w:lang w:val="en-US" w:eastAsia="zh-CN"/>
          <w14:textFill>
            <w14:solidFill>
              <w14:schemeClr w14:val="tx1"/>
            </w14:solidFill>
          </w14:textFill>
        </w:rPr>
        <w:t>有限公司副总经理</w:t>
      </w:r>
    </w:p>
    <w:p>
      <w:pPr>
        <w:keepNext w:val="0"/>
        <w:keepLines w:val="0"/>
        <w:pageBreakBefore w:val="0"/>
        <w:widowControl w:val="0"/>
        <w:kinsoku/>
        <w:wordWrap/>
        <w:overflowPunct/>
        <w:topLinePunct w:val="0"/>
        <w:autoSpaceDE/>
        <w:autoSpaceDN/>
        <w:bidi w:val="0"/>
        <w:adjustRightInd/>
        <w:snapToGrid/>
        <w:spacing w:line="560" w:lineRule="exact"/>
        <w:ind w:firstLine="1824" w:firstLineChars="600"/>
        <w:textAlignment w:val="auto"/>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pPr>
      <w:r>
        <w:rPr>
          <w:rFonts w:hint="eastAsia" w:ascii="仿宋_GB2312" w:hAnsi="仿宋_GB2312" w:cs="仿宋_GB2312"/>
          <w:color w:val="000000" w:themeColor="text1"/>
          <w:spacing w:val="-8"/>
          <w:sz w:val="32"/>
          <w:szCs w:val="32"/>
          <w:lang w:val="en-US" w:eastAsia="zh-CN"/>
          <w14:textFill>
            <w14:solidFill>
              <w14:schemeClr w14:val="tx1"/>
            </w14:solidFill>
          </w14:textFill>
        </w:rPr>
        <w:t>张  曼  山东</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山亿</w:t>
      </w:r>
      <w:r>
        <w:rPr>
          <w:rFonts w:hint="eastAsia" w:ascii="仿宋_GB2312" w:hAnsi="仿宋_GB2312" w:cs="仿宋_GB2312"/>
          <w:color w:val="000000" w:themeColor="text1"/>
          <w:spacing w:val="-8"/>
          <w:sz w:val="32"/>
          <w:szCs w:val="32"/>
          <w:lang w:val="en-US" w:eastAsia="zh-CN"/>
          <w14:textFill>
            <w14:solidFill>
              <w14:schemeClr w14:val="tx1"/>
            </w14:solidFill>
          </w14:textFill>
        </w:rPr>
        <w:t>控股</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集团</w:t>
      </w:r>
      <w:r>
        <w:rPr>
          <w:rFonts w:hint="eastAsia" w:ascii="仿宋_GB2312" w:hAnsi="仿宋_GB2312" w:cs="仿宋_GB2312"/>
          <w:color w:val="000000" w:themeColor="text1"/>
          <w:spacing w:val="-8"/>
          <w:sz w:val="32"/>
          <w:szCs w:val="32"/>
          <w:lang w:val="en-US" w:eastAsia="zh-CN"/>
          <w14:textFill>
            <w14:solidFill>
              <w14:schemeClr w14:val="tx1"/>
            </w14:solidFill>
          </w14:textFill>
        </w:rPr>
        <w:t>有限公司副总经理</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eastAsia="仿宋_GB2312"/>
          <w:spacing w:val="-6"/>
          <w:sz w:val="32"/>
          <w:szCs w:val="32"/>
        </w:rPr>
      </w:pPr>
      <w:r>
        <w:rPr>
          <w:rFonts w:hint="eastAsia" w:ascii="仿宋_GB2312" w:eastAsia="仿宋_GB2312"/>
          <w:spacing w:val="-6"/>
          <w:sz w:val="32"/>
          <w:szCs w:val="32"/>
          <w:lang w:val="en-US" w:eastAsia="zh-CN"/>
        </w:rPr>
        <w:t>专班具体</w:t>
      </w:r>
      <w:r>
        <w:rPr>
          <w:rFonts w:hint="eastAsia" w:ascii="仿宋_GB2312"/>
          <w:spacing w:val="-6"/>
          <w:sz w:val="32"/>
          <w:szCs w:val="32"/>
          <w:lang w:val="en-US" w:eastAsia="zh-CN"/>
        </w:rPr>
        <w:t>负责</w:t>
      </w:r>
      <w:r>
        <w:rPr>
          <w:rFonts w:hint="eastAsia" w:ascii="仿宋_GB2312" w:eastAsia="仿宋_GB2312"/>
          <w:spacing w:val="-6"/>
          <w:sz w:val="32"/>
          <w:szCs w:val="32"/>
          <w:lang w:val="en-US" w:eastAsia="zh-CN"/>
        </w:rPr>
        <w:t>财政支持“山水林田大会战”</w:t>
      </w:r>
      <w:r>
        <w:rPr>
          <w:rFonts w:hint="eastAsia" w:ascii="仿宋_GB2312"/>
          <w:spacing w:val="-6"/>
          <w:sz w:val="32"/>
          <w:szCs w:val="32"/>
          <w:lang w:val="en-US" w:eastAsia="zh-CN"/>
        </w:rPr>
        <w:t>相关</w:t>
      </w:r>
      <w:r>
        <w:rPr>
          <w:rFonts w:hint="eastAsia" w:ascii="仿宋_GB2312" w:eastAsia="仿宋_GB2312"/>
          <w:spacing w:val="-6"/>
          <w:sz w:val="32"/>
          <w:szCs w:val="32"/>
        </w:rPr>
        <w:t>政策措施</w:t>
      </w:r>
      <w:r>
        <w:rPr>
          <w:rFonts w:hint="eastAsia" w:ascii="仿宋_GB2312"/>
          <w:spacing w:val="-6"/>
          <w:sz w:val="32"/>
          <w:szCs w:val="32"/>
          <w:lang w:val="en-US" w:eastAsia="zh-CN"/>
        </w:rPr>
        <w:t>的贯彻落实及</w:t>
      </w:r>
      <w:r>
        <w:rPr>
          <w:rFonts w:hint="eastAsia" w:ascii="仿宋_GB2312" w:eastAsia="仿宋_GB2312"/>
          <w:spacing w:val="-6"/>
          <w:sz w:val="32"/>
          <w:szCs w:val="32"/>
        </w:rPr>
        <w:t>工作</w:t>
      </w:r>
      <w:r>
        <w:rPr>
          <w:rFonts w:hint="eastAsia" w:ascii="仿宋_GB2312"/>
          <w:spacing w:val="-6"/>
          <w:sz w:val="32"/>
          <w:szCs w:val="32"/>
          <w:lang w:val="en-US" w:eastAsia="zh-CN"/>
        </w:rPr>
        <w:t>推进、调度、督查等</w:t>
      </w:r>
      <w:r>
        <w:rPr>
          <w:rFonts w:hint="eastAsia" w:ascii="仿宋_GB2312" w:eastAsia="仿宋_GB2312"/>
          <w:spacing w:val="-6"/>
          <w:sz w:val="32"/>
          <w:szCs w:val="32"/>
        </w:rPr>
        <w:t>。专班</w:t>
      </w:r>
      <w:r>
        <w:rPr>
          <w:rFonts w:hint="eastAsia" w:ascii="仿宋_GB2312" w:eastAsia="仿宋_GB2312"/>
          <w:spacing w:val="-6"/>
          <w:sz w:val="32"/>
          <w:szCs w:val="32"/>
          <w:lang w:eastAsia="zh-CN"/>
        </w:rPr>
        <w:t>下设</w:t>
      </w:r>
      <w:r>
        <w:rPr>
          <w:rFonts w:hint="eastAsia" w:ascii="仿宋_GB2312" w:eastAsia="仿宋_GB2312"/>
          <w:spacing w:val="-6"/>
          <w:sz w:val="32"/>
          <w:szCs w:val="32"/>
        </w:rPr>
        <w:t>办公室，</w:t>
      </w:r>
      <w:r>
        <w:rPr>
          <w:rFonts w:hint="eastAsia" w:ascii="仿宋_GB2312"/>
          <w:spacing w:val="-6"/>
          <w:sz w:val="32"/>
          <w:szCs w:val="32"/>
          <w:lang w:val="en-US" w:eastAsia="zh-CN"/>
        </w:rPr>
        <w:t>张学来</w:t>
      </w:r>
      <w:r>
        <w:rPr>
          <w:rFonts w:hint="eastAsia" w:ascii="仿宋_GB2312" w:eastAsia="仿宋_GB2312"/>
          <w:spacing w:val="-6"/>
          <w:sz w:val="32"/>
          <w:szCs w:val="32"/>
          <w:lang w:eastAsia="zh-CN"/>
        </w:rPr>
        <w:t>同志</w:t>
      </w:r>
      <w:r>
        <w:rPr>
          <w:rFonts w:hint="eastAsia" w:ascii="仿宋_GB2312" w:eastAsia="仿宋_GB2312"/>
          <w:spacing w:val="-6"/>
          <w:sz w:val="32"/>
          <w:szCs w:val="32"/>
        </w:rPr>
        <w:t>兼任办公室主任</w:t>
      </w:r>
      <w:r>
        <w:rPr>
          <w:rFonts w:hint="eastAsia" w:ascii="仿宋_GB2312"/>
          <w:spacing w:val="-6"/>
          <w:sz w:val="32"/>
          <w:szCs w:val="32"/>
          <w:lang w:eastAsia="zh-CN"/>
        </w:rPr>
        <w:t>，</w:t>
      </w:r>
      <w:r>
        <w:rPr>
          <w:rFonts w:hint="eastAsia" w:ascii="仿宋_GB2312" w:eastAsia="仿宋_GB2312"/>
          <w:spacing w:val="-6"/>
          <w:sz w:val="32"/>
          <w:szCs w:val="32"/>
          <w:lang w:val="en-US" w:eastAsia="zh-CN"/>
        </w:rPr>
        <w:t>公茂标</w:t>
      </w:r>
      <w:r>
        <w:rPr>
          <w:rFonts w:hint="eastAsia" w:ascii="仿宋_GB2312" w:eastAsia="仿宋_GB2312"/>
          <w:spacing w:val="-6"/>
          <w:sz w:val="32"/>
          <w:szCs w:val="32"/>
          <w:lang w:eastAsia="zh-CN"/>
        </w:rPr>
        <w:t>同志</w:t>
      </w:r>
      <w:r>
        <w:rPr>
          <w:rFonts w:hint="eastAsia" w:ascii="仿宋_GB2312" w:eastAsia="仿宋_GB2312"/>
          <w:spacing w:val="-6"/>
          <w:sz w:val="32"/>
          <w:szCs w:val="32"/>
        </w:rPr>
        <w:t>兼任办公室</w:t>
      </w:r>
      <w:r>
        <w:rPr>
          <w:rFonts w:hint="eastAsia" w:ascii="仿宋_GB2312"/>
          <w:spacing w:val="-6"/>
          <w:sz w:val="32"/>
          <w:szCs w:val="32"/>
          <w:lang w:val="en-US" w:eastAsia="zh-CN"/>
        </w:rPr>
        <w:t>副</w:t>
      </w:r>
      <w:r>
        <w:rPr>
          <w:rFonts w:hint="eastAsia" w:ascii="仿宋_GB2312" w:eastAsia="仿宋_GB2312"/>
          <w:spacing w:val="-6"/>
          <w:sz w:val="32"/>
          <w:szCs w:val="32"/>
          <w:lang w:val="en-US" w:eastAsia="zh-CN"/>
        </w:rPr>
        <w:t>主任。</w:t>
      </w:r>
    </w:p>
    <w:p>
      <w:pPr>
        <w:ind w:left="0" w:leftChars="0" w:firstLine="0" w:firstLineChars="0"/>
        <w:rPr>
          <w:color w:val="000000" w:themeColor="text1"/>
          <w:spacing w:val="-6"/>
          <w14:textFill>
            <w14:solidFill>
              <w14:schemeClr w14:val="tx1"/>
            </w14:solidFill>
          </w14:textFill>
        </w:rPr>
      </w:pPr>
    </w:p>
    <w:sectPr>
      <w:pgSz w:w="11906" w:h="16838"/>
      <w:pgMar w:top="1440" w:right="1803" w:bottom="1440" w:left="1803" w:header="851" w:footer="992" w:gutter="0"/>
      <w:cols w:space="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4398335"/>
      <w:docPartObj>
        <w:docPartGallery w:val="autotext"/>
      </w:docPartObj>
    </w:sdtPr>
    <w:sdtEndPr>
      <w:rPr>
        <w:rFonts w:asciiTheme="minorEastAsia" w:hAnsiTheme="minorEastAsia" w:eastAsiaTheme="minorEastAsia"/>
        <w:sz w:val="24"/>
      </w:rPr>
    </w:sdtEndPr>
    <w:sdtContent>
      <w:p>
        <w:pPr>
          <w:pStyle w:val="4"/>
          <w:ind w:firstLine="360"/>
          <w:jc w:val="center"/>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PAGE   \* MERGEFORMAT</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7</w:t>
        </w:r>
        <w:r>
          <w:rPr>
            <w:rFonts w:asciiTheme="minorEastAsia" w:hAnsiTheme="minorEastAsia" w:eastAsiaTheme="minorEastAsia"/>
            <w:sz w:val="24"/>
          </w:rPr>
          <w:fldChar w:fldCharType="end"/>
        </w:r>
      </w:p>
    </w:sdtContent>
  </w:sdt>
  <w:p>
    <w:pPr>
      <w:pStyle w:val="4"/>
      <w:ind w:firstLine="480"/>
      <w:rPr>
        <w:rFonts w:asciiTheme="minorEastAsia" w:hAnsiTheme="minorEastAsia" w:eastAsiaTheme="minor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B1053"/>
    <w:multiLevelType w:val="singleLevel"/>
    <w:tmpl w:val="D4EB1053"/>
    <w:lvl w:ilvl="0" w:tentative="0">
      <w:start w:val="1"/>
      <w:numFmt w:val="chineseCounting"/>
      <w:suff w:val="nothing"/>
      <w:lvlText w:val="（%1）"/>
      <w:lvlJc w:val="left"/>
      <w:rPr>
        <w:rFonts w:hint="eastAsia" w:ascii="楷体_GB2312" w:eastAsia="楷体_GB2312"/>
      </w:rPr>
    </w:lvl>
  </w:abstractNum>
  <w:abstractNum w:abstractNumId="1">
    <w:nsid w:val="5F3004C2"/>
    <w:multiLevelType w:val="singleLevel"/>
    <w:tmpl w:val="5F3004C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F1C5A"/>
    <w:rsid w:val="00094788"/>
    <w:rsid w:val="001E4C07"/>
    <w:rsid w:val="002E6302"/>
    <w:rsid w:val="00494653"/>
    <w:rsid w:val="004A6165"/>
    <w:rsid w:val="004B05D4"/>
    <w:rsid w:val="005A30C0"/>
    <w:rsid w:val="006D7DB1"/>
    <w:rsid w:val="00753EFE"/>
    <w:rsid w:val="00846C01"/>
    <w:rsid w:val="008E1F2D"/>
    <w:rsid w:val="00951C29"/>
    <w:rsid w:val="00952511"/>
    <w:rsid w:val="00A66EEC"/>
    <w:rsid w:val="00A9485B"/>
    <w:rsid w:val="00B03DE4"/>
    <w:rsid w:val="00BA18AF"/>
    <w:rsid w:val="00DE1FF5"/>
    <w:rsid w:val="00E05EAD"/>
    <w:rsid w:val="00FB291A"/>
    <w:rsid w:val="00FE6A07"/>
    <w:rsid w:val="028D018C"/>
    <w:rsid w:val="07C05107"/>
    <w:rsid w:val="0AB00D11"/>
    <w:rsid w:val="0D8664C9"/>
    <w:rsid w:val="0FF923E5"/>
    <w:rsid w:val="100210FD"/>
    <w:rsid w:val="12243488"/>
    <w:rsid w:val="12587A41"/>
    <w:rsid w:val="15D54782"/>
    <w:rsid w:val="1685531E"/>
    <w:rsid w:val="17F87964"/>
    <w:rsid w:val="195F7AF1"/>
    <w:rsid w:val="1AAC186A"/>
    <w:rsid w:val="1C702466"/>
    <w:rsid w:val="1F022493"/>
    <w:rsid w:val="1F68459D"/>
    <w:rsid w:val="21D96613"/>
    <w:rsid w:val="27DD2EE5"/>
    <w:rsid w:val="2D813FC8"/>
    <w:rsid w:val="31026535"/>
    <w:rsid w:val="31671AC0"/>
    <w:rsid w:val="3775629B"/>
    <w:rsid w:val="391B5889"/>
    <w:rsid w:val="3AB20C27"/>
    <w:rsid w:val="426B0043"/>
    <w:rsid w:val="474A6006"/>
    <w:rsid w:val="48FC25CD"/>
    <w:rsid w:val="4B5F1C5A"/>
    <w:rsid w:val="4B753625"/>
    <w:rsid w:val="53432974"/>
    <w:rsid w:val="5600395E"/>
    <w:rsid w:val="58E0207B"/>
    <w:rsid w:val="5A0D5E7B"/>
    <w:rsid w:val="5B905B32"/>
    <w:rsid w:val="621641DC"/>
    <w:rsid w:val="634662A4"/>
    <w:rsid w:val="64207DCF"/>
    <w:rsid w:val="64A75474"/>
    <w:rsid w:val="6B50096F"/>
    <w:rsid w:val="749212B1"/>
    <w:rsid w:val="7D55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仿宋_GB2312" w:cstheme="minorBidi"/>
      <w:kern w:val="2"/>
      <w:sz w:val="32"/>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99"/>
    <w:pPr>
      <w:widowControl w:val="0"/>
      <w:adjustRightInd w:val="0"/>
      <w:snapToGrid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footer"/>
    <w:basedOn w:val="1"/>
    <w:link w:val="14"/>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0">
    <w:name w:val="Strong"/>
    <w:basedOn w:val="9"/>
    <w:qFormat/>
    <w:uiPriority w:val="0"/>
    <w:rPr>
      <w:b/>
    </w:rPr>
  </w:style>
  <w:style w:type="character" w:styleId="11">
    <w:name w:val="page number"/>
    <w:basedOn w:val="9"/>
    <w:qFormat/>
    <w:uiPriority w:val="0"/>
  </w:style>
  <w:style w:type="character" w:styleId="12">
    <w:name w:val="Emphasis"/>
    <w:basedOn w:val="9"/>
    <w:qFormat/>
    <w:uiPriority w:val="0"/>
    <w:rPr>
      <w:i/>
    </w:rPr>
  </w:style>
  <w:style w:type="character" w:customStyle="1" w:styleId="13">
    <w:name w:val="页眉 Char"/>
    <w:basedOn w:val="9"/>
    <w:link w:val="5"/>
    <w:qFormat/>
    <w:uiPriority w:val="0"/>
    <w:rPr>
      <w:rFonts w:eastAsia="仿宋_GB2312" w:cstheme="minorBidi"/>
      <w:kern w:val="2"/>
      <w:sz w:val="18"/>
      <w:szCs w:val="18"/>
    </w:rPr>
  </w:style>
  <w:style w:type="character" w:customStyle="1" w:styleId="14">
    <w:name w:val="页脚 Char"/>
    <w:basedOn w:val="9"/>
    <w:link w:val="4"/>
    <w:qFormat/>
    <w:uiPriority w:val="99"/>
    <w:rPr>
      <w:rFonts w:eastAsia="仿宋_GB2312" w:cstheme="minorBidi"/>
      <w:kern w:val="2"/>
      <w:sz w:val="18"/>
      <w:szCs w:val="18"/>
    </w:rPr>
  </w:style>
  <w:style w:type="paragraph" w:customStyle="1" w:styleId="15">
    <w:name w:val=" Char"/>
    <w:basedOn w:val="1"/>
    <w:qFormat/>
    <w:uiPriority w:val="0"/>
    <w:pPr>
      <w:widowControl/>
      <w:spacing w:before="80" w:beforeLines="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914</Words>
  <Characters>5211</Characters>
  <Lines>43</Lines>
  <Paragraphs>12</Paragraphs>
  <TotalTime>7</TotalTime>
  <ScaleCrop>false</ScaleCrop>
  <LinksUpToDate>false</LinksUpToDate>
  <CharactersWithSpaces>6113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2021-05-08T03:25:00Z</dcterms:created>
  <dc:creator>KXJ</dc:creator>
  <cp:lastModifiedBy>KXJ</cp:lastModifiedBy>
  <cp:lastPrinted>2021-05-31T01:32:00Z</cp:lastPrinted>
  <dcterms:modified xsi:type="dcterms:W3CDTF">2021-06-08T07:26:18Z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086D104CF4A04EE89E2355995A0F1DE8</vt:lpwstr>
  </property>
</Properties>
</file>